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6D3CD" w14:textId="77777777" w:rsidR="00CE195E" w:rsidRPr="00CA43C7" w:rsidRDefault="00CE195E" w:rsidP="00CE195E">
      <w:pPr>
        <w:tabs>
          <w:tab w:val="left" w:pos="4253"/>
        </w:tabs>
        <w:ind w:left="4962" w:right="-284"/>
        <w:jc w:val="both"/>
        <w:rPr>
          <w:b/>
          <w:bCs/>
          <w:sz w:val="22"/>
          <w:szCs w:val="22"/>
        </w:rPr>
      </w:pPr>
      <w:r w:rsidRPr="00CA43C7">
        <w:rPr>
          <w:b/>
          <w:bCs/>
          <w:sz w:val="22"/>
          <w:szCs w:val="22"/>
        </w:rPr>
        <w:t xml:space="preserve">     УТВЕРЖДЕНО </w:t>
      </w:r>
    </w:p>
    <w:p w14:paraId="128860CD" w14:textId="77777777" w:rsidR="00CE195E" w:rsidRPr="00CA43C7" w:rsidRDefault="00CE195E" w:rsidP="00CE195E">
      <w:pPr>
        <w:tabs>
          <w:tab w:val="left" w:pos="4253"/>
        </w:tabs>
        <w:ind w:left="4962" w:right="-284"/>
        <w:jc w:val="both"/>
        <w:rPr>
          <w:b/>
          <w:sz w:val="22"/>
          <w:szCs w:val="22"/>
        </w:rPr>
      </w:pPr>
      <w:r w:rsidRPr="00CA43C7">
        <w:rPr>
          <w:b/>
          <w:bCs/>
          <w:sz w:val="22"/>
          <w:szCs w:val="22"/>
        </w:rPr>
        <w:t xml:space="preserve">     Приказом №</w:t>
      </w:r>
      <w:r>
        <w:rPr>
          <w:b/>
          <w:bCs/>
          <w:sz w:val="22"/>
          <w:szCs w:val="22"/>
        </w:rPr>
        <w:t>___</w:t>
      </w:r>
      <w:r w:rsidRPr="00CA43C7">
        <w:rPr>
          <w:b/>
          <w:bCs/>
          <w:sz w:val="22"/>
          <w:szCs w:val="22"/>
        </w:rPr>
        <w:t xml:space="preserve"> от «</w:t>
      </w:r>
      <w:r>
        <w:rPr>
          <w:b/>
          <w:bCs/>
          <w:sz w:val="22"/>
          <w:szCs w:val="22"/>
        </w:rPr>
        <w:t>__</w:t>
      </w:r>
      <w:r w:rsidRPr="00CA43C7">
        <w:rPr>
          <w:b/>
          <w:bCs/>
          <w:sz w:val="22"/>
          <w:szCs w:val="22"/>
        </w:rPr>
        <w:t xml:space="preserve">» </w:t>
      </w:r>
      <w:r>
        <w:rPr>
          <w:b/>
          <w:bCs/>
          <w:sz w:val="22"/>
          <w:szCs w:val="22"/>
        </w:rPr>
        <w:t>___</w:t>
      </w:r>
      <w:r w:rsidRPr="00CA43C7">
        <w:rPr>
          <w:b/>
          <w:bCs/>
          <w:sz w:val="22"/>
          <w:szCs w:val="22"/>
        </w:rPr>
        <w:t xml:space="preserve"> 202</w:t>
      </w:r>
      <w:r>
        <w:rPr>
          <w:b/>
          <w:bCs/>
          <w:sz w:val="22"/>
          <w:szCs w:val="22"/>
        </w:rPr>
        <w:t>_</w:t>
      </w:r>
      <w:r w:rsidRPr="00CA43C7">
        <w:rPr>
          <w:b/>
          <w:bCs/>
          <w:sz w:val="22"/>
          <w:szCs w:val="22"/>
        </w:rPr>
        <w:t xml:space="preserve"> г. </w:t>
      </w:r>
      <w:r w:rsidRPr="00CA43C7">
        <w:rPr>
          <w:b/>
          <w:sz w:val="22"/>
          <w:szCs w:val="22"/>
        </w:rPr>
        <w:tab/>
      </w:r>
    </w:p>
    <w:p w14:paraId="14F65FBB" w14:textId="77777777" w:rsidR="00CE195E" w:rsidRPr="00CA43C7" w:rsidRDefault="00CE195E" w:rsidP="00CE195E">
      <w:pPr>
        <w:tabs>
          <w:tab w:val="left" w:pos="4253"/>
        </w:tabs>
        <w:ind w:left="5103" w:right="-284"/>
        <w:jc w:val="both"/>
        <w:rPr>
          <w:b/>
          <w:sz w:val="22"/>
          <w:szCs w:val="22"/>
        </w:rPr>
      </w:pPr>
      <w:r w:rsidRPr="00CA43C7">
        <w:rPr>
          <w:b/>
          <w:sz w:val="22"/>
          <w:szCs w:val="22"/>
        </w:rPr>
        <w:tab/>
      </w:r>
    </w:p>
    <w:p w14:paraId="4AC358CF" w14:textId="77777777" w:rsidR="00CE195E" w:rsidRPr="00CA43C7" w:rsidRDefault="00CE195E" w:rsidP="00CE195E">
      <w:pPr>
        <w:tabs>
          <w:tab w:val="left" w:pos="3960"/>
          <w:tab w:val="left" w:pos="4253"/>
          <w:tab w:val="left" w:pos="4320"/>
        </w:tabs>
        <w:ind w:left="5529" w:hanging="426"/>
        <w:jc w:val="both"/>
        <w:rPr>
          <w:b/>
          <w:sz w:val="22"/>
          <w:szCs w:val="22"/>
        </w:rPr>
      </w:pPr>
      <w:r w:rsidRPr="00CA43C7">
        <w:rPr>
          <w:b/>
          <w:sz w:val="22"/>
          <w:szCs w:val="22"/>
        </w:rPr>
        <w:tab/>
        <w:t>Генеральный директор</w:t>
      </w:r>
    </w:p>
    <w:p w14:paraId="4332C8CD" w14:textId="77777777" w:rsidR="00CE195E" w:rsidRPr="00CA43C7" w:rsidRDefault="00CE195E" w:rsidP="00CE195E">
      <w:pPr>
        <w:tabs>
          <w:tab w:val="left" w:pos="3960"/>
          <w:tab w:val="left" w:pos="4253"/>
          <w:tab w:val="left" w:pos="4320"/>
        </w:tabs>
        <w:ind w:left="5529" w:hanging="426"/>
        <w:jc w:val="both"/>
        <w:rPr>
          <w:b/>
          <w:sz w:val="22"/>
          <w:szCs w:val="22"/>
        </w:rPr>
      </w:pPr>
    </w:p>
    <w:p w14:paraId="0E4E44E1" w14:textId="77777777" w:rsidR="00CE195E" w:rsidRPr="00CA43C7" w:rsidRDefault="00CE195E" w:rsidP="00CE195E">
      <w:pPr>
        <w:tabs>
          <w:tab w:val="left" w:pos="3960"/>
          <w:tab w:val="left" w:pos="4253"/>
          <w:tab w:val="left" w:pos="4320"/>
        </w:tabs>
        <w:ind w:left="5529" w:hanging="426"/>
        <w:jc w:val="both"/>
        <w:rPr>
          <w:b/>
          <w:sz w:val="22"/>
          <w:szCs w:val="22"/>
        </w:rPr>
      </w:pPr>
      <w:r w:rsidRPr="00CA43C7">
        <w:rPr>
          <w:b/>
          <w:sz w:val="22"/>
          <w:szCs w:val="22"/>
        </w:rPr>
        <w:tab/>
        <w:t>________________</w:t>
      </w:r>
      <w:r>
        <w:rPr>
          <w:b/>
          <w:sz w:val="22"/>
          <w:szCs w:val="22"/>
        </w:rPr>
        <w:t>Н</w:t>
      </w:r>
      <w:r w:rsidRPr="00CA43C7">
        <w:rPr>
          <w:b/>
          <w:sz w:val="22"/>
          <w:szCs w:val="22"/>
        </w:rPr>
        <w:t>.</w:t>
      </w:r>
      <w:r>
        <w:rPr>
          <w:b/>
          <w:sz w:val="22"/>
          <w:szCs w:val="22"/>
        </w:rPr>
        <w:t>Н. Антипов</w:t>
      </w:r>
    </w:p>
    <w:p w14:paraId="6BB52E7F" w14:textId="77777777" w:rsidR="00CE195E" w:rsidRPr="00CA43C7" w:rsidRDefault="00CE195E" w:rsidP="00CE195E">
      <w:pPr>
        <w:rPr>
          <w:sz w:val="22"/>
          <w:szCs w:val="22"/>
        </w:rPr>
      </w:pPr>
    </w:p>
    <w:p w14:paraId="20C5B846" w14:textId="77777777" w:rsidR="00CE195E" w:rsidRPr="00CA43C7" w:rsidRDefault="00CE195E" w:rsidP="00CE195E">
      <w:pPr>
        <w:pStyle w:val="a4"/>
        <w:widowControl/>
        <w:rPr>
          <w:rFonts w:ascii="Arial" w:hAnsi="Arial" w:cs="Arial"/>
          <w:b/>
          <w:sz w:val="22"/>
          <w:szCs w:val="22"/>
          <w:u w:val="none"/>
          <w:lang w:val="ru-RU"/>
        </w:rPr>
      </w:pPr>
    </w:p>
    <w:p w14:paraId="5C3B0BE7" w14:textId="77777777" w:rsidR="00CE195E" w:rsidRPr="00CA43C7" w:rsidRDefault="00CE195E" w:rsidP="00CE195E">
      <w:pPr>
        <w:pStyle w:val="a4"/>
        <w:widowControl/>
        <w:rPr>
          <w:rFonts w:ascii="Arial" w:hAnsi="Arial" w:cs="Arial"/>
          <w:b/>
          <w:sz w:val="22"/>
          <w:szCs w:val="22"/>
          <w:u w:val="none"/>
          <w:lang w:val="ru-RU"/>
        </w:rPr>
      </w:pPr>
    </w:p>
    <w:p w14:paraId="604478C7" w14:textId="77777777" w:rsidR="00CE195E" w:rsidRPr="00CA43C7" w:rsidRDefault="00CE195E" w:rsidP="00CE195E">
      <w:pPr>
        <w:pStyle w:val="a4"/>
        <w:widowControl/>
        <w:rPr>
          <w:rFonts w:ascii="Arial" w:hAnsi="Arial" w:cs="Arial"/>
          <w:b/>
          <w:sz w:val="22"/>
          <w:szCs w:val="22"/>
          <w:u w:val="none"/>
          <w:lang w:val="ru-RU"/>
        </w:rPr>
      </w:pPr>
    </w:p>
    <w:p w14:paraId="3DDA5EA8" w14:textId="77777777" w:rsidR="00CE195E" w:rsidRPr="00CA43C7" w:rsidRDefault="00CE195E" w:rsidP="00CE195E">
      <w:pPr>
        <w:pStyle w:val="a4"/>
        <w:widowControl/>
        <w:rPr>
          <w:rFonts w:ascii="Arial" w:hAnsi="Arial" w:cs="Arial"/>
          <w:b/>
          <w:sz w:val="22"/>
          <w:szCs w:val="22"/>
          <w:u w:val="none"/>
          <w:lang w:val="ru-RU"/>
        </w:rPr>
      </w:pPr>
    </w:p>
    <w:p w14:paraId="7D6E303D" w14:textId="77777777" w:rsidR="00CE195E" w:rsidRPr="00CA43C7" w:rsidRDefault="00CE195E" w:rsidP="00CE195E">
      <w:pPr>
        <w:pStyle w:val="a4"/>
        <w:widowControl/>
        <w:rPr>
          <w:rFonts w:ascii="Arial" w:hAnsi="Arial" w:cs="Arial"/>
          <w:b/>
          <w:sz w:val="22"/>
          <w:szCs w:val="22"/>
          <w:u w:val="none"/>
          <w:lang w:val="ru-RU"/>
        </w:rPr>
      </w:pPr>
    </w:p>
    <w:p w14:paraId="073D92DE" w14:textId="77777777" w:rsidR="00CE195E" w:rsidRPr="00CA43C7" w:rsidRDefault="00CE195E" w:rsidP="00CE195E">
      <w:pPr>
        <w:pStyle w:val="a4"/>
        <w:widowControl/>
        <w:rPr>
          <w:rFonts w:ascii="Arial" w:hAnsi="Arial" w:cs="Arial"/>
          <w:b/>
          <w:sz w:val="22"/>
          <w:szCs w:val="22"/>
          <w:u w:val="none"/>
          <w:lang w:val="ru-RU"/>
        </w:rPr>
      </w:pPr>
    </w:p>
    <w:p w14:paraId="6038081E" w14:textId="77777777" w:rsidR="00CE195E" w:rsidRPr="00CA43C7" w:rsidRDefault="00CE195E" w:rsidP="00CE195E">
      <w:pPr>
        <w:pStyle w:val="a4"/>
        <w:widowControl/>
        <w:rPr>
          <w:rFonts w:ascii="Arial" w:hAnsi="Arial" w:cs="Arial"/>
          <w:b/>
          <w:sz w:val="22"/>
          <w:szCs w:val="22"/>
          <w:u w:val="none"/>
          <w:lang w:val="ru-RU"/>
        </w:rPr>
      </w:pPr>
    </w:p>
    <w:p w14:paraId="609C4CF3" w14:textId="77777777" w:rsidR="00CE195E" w:rsidRPr="00CA43C7" w:rsidRDefault="00CE195E" w:rsidP="00CE195E">
      <w:pPr>
        <w:pStyle w:val="a4"/>
        <w:widowControl/>
        <w:rPr>
          <w:rFonts w:ascii="Arial" w:hAnsi="Arial" w:cs="Arial"/>
          <w:b/>
          <w:sz w:val="22"/>
          <w:szCs w:val="22"/>
          <w:u w:val="none"/>
          <w:lang w:val="ru-RU"/>
        </w:rPr>
      </w:pPr>
    </w:p>
    <w:p w14:paraId="6740EF40" w14:textId="77777777" w:rsidR="00CE195E" w:rsidRPr="00CA43C7" w:rsidRDefault="00CE195E" w:rsidP="00CE195E">
      <w:pPr>
        <w:pStyle w:val="a4"/>
        <w:widowControl/>
        <w:rPr>
          <w:rFonts w:ascii="Arial" w:hAnsi="Arial" w:cs="Arial"/>
          <w:b/>
          <w:sz w:val="22"/>
          <w:szCs w:val="22"/>
          <w:u w:val="none"/>
          <w:lang w:val="ru-RU"/>
        </w:rPr>
      </w:pPr>
    </w:p>
    <w:p w14:paraId="41275672" w14:textId="77777777" w:rsidR="00CE195E" w:rsidRPr="00CA43C7" w:rsidRDefault="00CE195E" w:rsidP="00CE195E">
      <w:pPr>
        <w:pStyle w:val="a4"/>
        <w:widowControl/>
        <w:rPr>
          <w:rFonts w:ascii="Arial" w:hAnsi="Arial" w:cs="Arial"/>
          <w:b/>
          <w:sz w:val="22"/>
          <w:szCs w:val="22"/>
          <w:u w:val="none"/>
          <w:lang w:val="ru-RU"/>
        </w:rPr>
      </w:pPr>
    </w:p>
    <w:p w14:paraId="1D2C3858" w14:textId="77777777" w:rsidR="00CE195E" w:rsidRPr="00CA43C7" w:rsidRDefault="00CE195E" w:rsidP="00CE195E">
      <w:pPr>
        <w:jc w:val="center"/>
        <w:rPr>
          <w:b/>
          <w:caps/>
          <w:sz w:val="22"/>
          <w:szCs w:val="22"/>
        </w:rPr>
      </w:pPr>
      <w:r w:rsidRPr="00CA43C7">
        <w:rPr>
          <w:b/>
          <w:caps/>
          <w:sz w:val="22"/>
          <w:szCs w:val="22"/>
        </w:rPr>
        <w:t>ОБЩАЯ МЕТОДИКА</w:t>
      </w:r>
    </w:p>
    <w:p w14:paraId="447A5525" w14:textId="77777777" w:rsidR="00CE195E" w:rsidRPr="00CA43C7" w:rsidRDefault="00CE195E" w:rsidP="00CE195E">
      <w:pPr>
        <w:jc w:val="center"/>
        <w:rPr>
          <w:b/>
          <w:sz w:val="22"/>
          <w:szCs w:val="22"/>
        </w:rPr>
      </w:pPr>
      <w:r w:rsidRPr="00CA43C7">
        <w:rPr>
          <w:b/>
          <w:sz w:val="22"/>
          <w:szCs w:val="22"/>
        </w:rPr>
        <w:t>оценки имущества</w:t>
      </w:r>
    </w:p>
    <w:p w14:paraId="242149BB" w14:textId="77777777" w:rsidR="00CE195E" w:rsidRPr="00CA43C7" w:rsidRDefault="00CE195E" w:rsidP="00CE195E">
      <w:pPr>
        <w:jc w:val="center"/>
        <w:rPr>
          <w:b/>
          <w:sz w:val="22"/>
          <w:szCs w:val="22"/>
        </w:rPr>
      </w:pPr>
      <w:r>
        <w:rPr>
          <w:b/>
          <w:sz w:val="22"/>
          <w:szCs w:val="22"/>
        </w:rPr>
        <w:t>Акционерного о</w:t>
      </w:r>
      <w:r w:rsidRPr="00CA43C7">
        <w:rPr>
          <w:b/>
          <w:sz w:val="22"/>
          <w:szCs w:val="22"/>
        </w:rPr>
        <w:t>бщества «Управляющая компания «</w:t>
      </w:r>
      <w:r>
        <w:rPr>
          <w:b/>
          <w:sz w:val="22"/>
          <w:szCs w:val="22"/>
        </w:rPr>
        <w:t xml:space="preserve">Мой </w:t>
      </w:r>
      <w:r w:rsidRPr="00CA43C7">
        <w:rPr>
          <w:b/>
          <w:sz w:val="22"/>
          <w:szCs w:val="22"/>
        </w:rPr>
        <w:t>Капитал»</w:t>
      </w:r>
    </w:p>
    <w:p w14:paraId="2C1643E1" w14:textId="77777777" w:rsidR="00CE195E" w:rsidRPr="00CA43C7" w:rsidRDefault="00CE195E" w:rsidP="00CE195E">
      <w:pPr>
        <w:rPr>
          <w:b/>
          <w:i/>
          <w:sz w:val="22"/>
          <w:szCs w:val="22"/>
        </w:rPr>
      </w:pPr>
    </w:p>
    <w:p w14:paraId="6D36EA60" w14:textId="77777777" w:rsidR="00CE195E" w:rsidRPr="00CA43C7" w:rsidRDefault="00CE195E" w:rsidP="00CE195E">
      <w:pPr>
        <w:pStyle w:val="1"/>
        <w:jc w:val="center"/>
        <w:rPr>
          <w:rFonts w:ascii="Arial" w:hAnsi="Arial" w:cs="Arial"/>
          <w:b/>
          <w:sz w:val="22"/>
          <w:szCs w:val="22"/>
          <w:lang w:val="ru-RU"/>
        </w:rPr>
      </w:pPr>
    </w:p>
    <w:p w14:paraId="33D1B1C0" w14:textId="77777777" w:rsidR="00044D21" w:rsidRPr="00B4286E" w:rsidRDefault="00044D21" w:rsidP="00044D21">
      <w:pPr>
        <w:pStyle w:val="Default"/>
        <w:jc w:val="center"/>
        <w:rPr>
          <w:b/>
          <w:bCs/>
          <w:color w:val="auto"/>
          <w:sz w:val="20"/>
          <w:szCs w:val="20"/>
        </w:rPr>
      </w:pPr>
      <w:r w:rsidRPr="00B4286E">
        <w:rPr>
          <w:b/>
          <w:bCs/>
          <w:color w:val="auto"/>
          <w:sz w:val="20"/>
          <w:szCs w:val="20"/>
        </w:rPr>
        <w:t>Редакция №</w:t>
      </w:r>
      <w:r>
        <w:rPr>
          <w:b/>
          <w:bCs/>
          <w:color w:val="auto"/>
          <w:sz w:val="20"/>
          <w:szCs w:val="20"/>
        </w:rPr>
        <w:t xml:space="preserve"> 2</w:t>
      </w:r>
    </w:p>
    <w:p w14:paraId="0E9CD79D" w14:textId="116F7B68" w:rsidR="00044D21" w:rsidRPr="00B4286E" w:rsidRDefault="00044D21" w:rsidP="00044D21">
      <w:pPr>
        <w:pStyle w:val="Default"/>
        <w:jc w:val="center"/>
        <w:rPr>
          <w:b/>
          <w:bCs/>
          <w:color w:val="auto"/>
          <w:sz w:val="20"/>
          <w:szCs w:val="20"/>
        </w:rPr>
      </w:pPr>
      <w:r w:rsidRPr="00B4286E">
        <w:rPr>
          <w:b/>
          <w:bCs/>
          <w:color w:val="auto"/>
          <w:sz w:val="20"/>
          <w:szCs w:val="20"/>
        </w:rPr>
        <w:t>(действует с</w:t>
      </w:r>
      <w:r>
        <w:rPr>
          <w:b/>
          <w:bCs/>
          <w:color w:val="auto"/>
          <w:sz w:val="20"/>
          <w:szCs w:val="20"/>
        </w:rPr>
        <w:t xml:space="preserve"> </w:t>
      </w:r>
      <w:r w:rsidR="00EA252D">
        <w:rPr>
          <w:b/>
          <w:bCs/>
          <w:color w:val="auto"/>
          <w:sz w:val="20"/>
          <w:szCs w:val="20"/>
        </w:rPr>
        <w:t>15</w:t>
      </w:r>
      <w:r>
        <w:rPr>
          <w:b/>
          <w:bCs/>
          <w:color w:val="auto"/>
          <w:sz w:val="20"/>
          <w:szCs w:val="20"/>
        </w:rPr>
        <w:t xml:space="preserve"> </w:t>
      </w:r>
      <w:r w:rsidR="00EA252D">
        <w:rPr>
          <w:b/>
          <w:bCs/>
          <w:color w:val="auto"/>
          <w:sz w:val="20"/>
          <w:szCs w:val="20"/>
        </w:rPr>
        <w:t>октября</w:t>
      </w:r>
      <w:bookmarkStart w:id="0" w:name="_GoBack"/>
      <w:bookmarkEnd w:id="0"/>
      <w:r>
        <w:rPr>
          <w:b/>
          <w:bCs/>
          <w:color w:val="auto"/>
          <w:sz w:val="20"/>
          <w:szCs w:val="20"/>
        </w:rPr>
        <w:t xml:space="preserve"> 2022</w:t>
      </w:r>
      <w:r w:rsidRPr="00B4286E">
        <w:rPr>
          <w:b/>
          <w:bCs/>
          <w:color w:val="auto"/>
          <w:sz w:val="20"/>
          <w:szCs w:val="20"/>
        </w:rPr>
        <w:t xml:space="preserve"> года) </w:t>
      </w:r>
    </w:p>
    <w:p w14:paraId="320852BD" w14:textId="77777777" w:rsidR="002C648F" w:rsidRPr="00CA43C7" w:rsidRDefault="002C648F" w:rsidP="002C648F">
      <w:pPr>
        <w:pStyle w:val="1"/>
        <w:jc w:val="center"/>
        <w:rPr>
          <w:rFonts w:ascii="Arial" w:hAnsi="Arial" w:cs="Arial"/>
          <w:b/>
          <w:sz w:val="22"/>
          <w:szCs w:val="22"/>
          <w:lang w:val="ru-RU"/>
        </w:rPr>
      </w:pPr>
    </w:p>
    <w:p w14:paraId="045AF90D" w14:textId="77777777" w:rsidR="002C648F" w:rsidRPr="00CA43C7" w:rsidRDefault="002C648F" w:rsidP="002C648F">
      <w:pPr>
        <w:pStyle w:val="a5"/>
        <w:rPr>
          <w:rFonts w:ascii="Arial" w:hAnsi="Arial" w:cs="Arial"/>
          <w:color w:val="auto"/>
          <w:sz w:val="22"/>
          <w:szCs w:val="22"/>
        </w:rPr>
      </w:pPr>
    </w:p>
    <w:p w14:paraId="311119C7" w14:textId="77777777" w:rsidR="002C648F" w:rsidRPr="00CA43C7" w:rsidRDefault="002C648F" w:rsidP="002C648F">
      <w:pPr>
        <w:pStyle w:val="1"/>
        <w:jc w:val="center"/>
        <w:rPr>
          <w:rFonts w:ascii="Arial" w:hAnsi="Arial" w:cs="Arial"/>
          <w:b/>
          <w:sz w:val="22"/>
          <w:szCs w:val="22"/>
          <w:lang w:val="ru-RU"/>
        </w:rPr>
      </w:pPr>
    </w:p>
    <w:p w14:paraId="7816A7A7" w14:textId="77777777" w:rsidR="002C648F" w:rsidRPr="00CA43C7" w:rsidRDefault="002C648F" w:rsidP="002C648F">
      <w:pPr>
        <w:pStyle w:val="1"/>
        <w:jc w:val="center"/>
        <w:rPr>
          <w:rFonts w:ascii="Arial" w:hAnsi="Arial" w:cs="Arial"/>
          <w:b/>
          <w:sz w:val="22"/>
          <w:szCs w:val="22"/>
          <w:lang w:val="ru-RU"/>
        </w:rPr>
      </w:pPr>
    </w:p>
    <w:p w14:paraId="182AB2FF" w14:textId="77777777" w:rsidR="002C648F" w:rsidRPr="00CA43C7" w:rsidRDefault="002C648F" w:rsidP="002C648F">
      <w:pPr>
        <w:pStyle w:val="1"/>
        <w:jc w:val="both"/>
        <w:rPr>
          <w:rFonts w:ascii="Arial" w:hAnsi="Arial" w:cs="Arial"/>
          <w:b/>
          <w:sz w:val="22"/>
          <w:szCs w:val="22"/>
          <w:lang w:val="ru-RU"/>
        </w:rPr>
      </w:pPr>
    </w:p>
    <w:p w14:paraId="3921A7E5" w14:textId="77777777" w:rsidR="002C648F" w:rsidRPr="00CA43C7" w:rsidRDefault="002C648F" w:rsidP="002C648F">
      <w:pPr>
        <w:pStyle w:val="1"/>
        <w:jc w:val="both"/>
        <w:rPr>
          <w:rFonts w:ascii="Arial" w:hAnsi="Arial" w:cs="Arial"/>
          <w:b/>
          <w:sz w:val="22"/>
          <w:szCs w:val="22"/>
          <w:lang w:val="ru-RU"/>
        </w:rPr>
      </w:pPr>
    </w:p>
    <w:p w14:paraId="5B32CC10" w14:textId="77777777" w:rsidR="002C648F" w:rsidRPr="00CA43C7" w:rsidRDefault="002C648F" w:rsidP="002C648F">
      <w:pPr>
        <w:pStyle w:val="1"/>
        <w:jc w:val="both"/>
        <w:rPr>
          <w:rFonts w:ascii="Arial" w:hAnsi="Arial" w:cs="Arial"/>
          <w:b/>
          <w:sz w:val="22"/>
          <w:szCs w:val="22"/>
          <w:lang w:val="ru-RU"/>
        </w:rPr>
      </w:pPr>
    </w:p>
    <w:p w14:paraId="46CB73C7" w14:textId="77777777" w:rsidR="002C648F" w:rsidRPr="00CA43C7" w:rsidRDefault="002C648F" w:rsidP="002C648F">
      <w:pPr>
        <w:pStyle w:val="1"/>
        <w:jc w:val="both"/>
        <w:rPr>
          <w:rFonts w:ascii="Arial" w:hAnsi="Arial" w:cs="Arial"/>
          <w:b/>
          <w:sz w:val="22"/>
          <w:szCs w:val="22"/>
          <w:lang w:val="ru-RU"/>
        </w:rPr>
      </w:pPr>
    </w:p>
    <w:p w14:paraId="06257DB3" w14:textId="77777777" w:rsidR="002C648F" w:rsidRPr="00CA43C7" w:rsidRDefault="002C648F" w:rsidP="002C648F">
      <w:pPr>
        <w:pStyle w:val="1"/>
        <w:jc w:val="both"/>
        <w:rPr>
          <w:rFonts w:ascii="Arial" w:hAnsi="Arial" w:cs="Arial"/>
          <w:b/>
          <w:sz w:val="22"/>
          <w:szCs w:val="22"/>
          <w:lang w:val="ru-RU"/>
        </w:rPr>
      </w:pPr>
    </w:p>
    <w:p w14:paraId="6753FEC9" w14:textId="77777777" w:rsidR="002C648F" w:rsidRPr="00CA43C7" w:rsidRDefault="002C648F" w:rsidP="002C648F">
      <w:pPr>
        <w:pStyle w:val="1"/>
        <w:jc w:val="both"/>
        <w:rPr>
          <w:rFonts w:ascii="Arial" w:hAnsi="Arial" w:cs="Arial"/>
          <w:b/>
          <w:sz w:val="22"/>
          <w:szCs w:val="22"/>
          <w:lang w:val="ru-RU"/>
        </w:rPr>
      </w:pPr>
    </w:p>
    <w:p w14:paraId="1C625F28" w14:textId="77777777" w:rsidR="002C648F" w:rsidRPr="00CA43C7" w:rsidRDefault="002C648F" w:rsidP="002C648F">
      <w:pPr>
        <w:pStyle w:val="1"/>
        <w:jc w:val="both"/>
        <w:rPr>
          <w:rFonts w:ascii="Arial" w:hAnsi="Arial" w:cs="Arial"/>
          <w:b/>
          <w:sz w:val="22"/>
          <w:szCs w:val="22"/>
          <w:lang w:val="ru-RU"/>
        </w:rPr>
      </w:pPr>
    </w:p>
    <w:p w14:paraId="04E937DC" w14:textId="77777777" w:rsidR="002C648F" w:rsidRPr="00CA43C7" w:rsidRDefault="002C648F" w:rsidP="002C648F">
      <w:pPr>
        <w:pStyle w:val="1"/>
        <w:jc w:val="both"/>
        <w:rPr>
          <w:rFonts w:ascii="Arial" w:hAnsi="Arial" w:cs="Arial"/>
          <w:b/>
          <w:sz w:val="22"/>
          <w:szCs w:val="22"/>
          <w:lang w:val="ru-RU"/>
        </w:rPr>
      </w:pPr>
    </w:p>
    <w:p w14:paraId="02109A7D" w14:textId="77777777" w:rsidR="002C648F" w:rsidRPr="00CA43C7" w:rsidRDefault="002C648F" w:rsidP="002C648F">
      <w:pPr>
        <w:pStyle w:val="1"/>
        <w:jc w:val="both"/>
        <w:rPr>
          <w:rFonts w:ascii="Arial" w:hAnsi="Arial" w:cs="Arial"/>
          <w:b/>
          <w:sz w:val="22"/>
          <w:szCs w:val="22"/>
          <w:lang w:val="ru-RU"/>
        </w:rPr>
      </w:pPr>
    </w:p>
    <w:p w14:paraId="52035D4A" w14:textId="77777777" w:rsidR="002C648F" w:rsidRPr="00CA43C7" w:rsidRDefault="002C648F" w:rsidP="002C648F">
      <w:pPr>
        <w:pStyle w:val="1"/>
        <w:jc w:val="both"/>
        <w:rPr>
          <w:rFonts w:ascii="Arial" w:hAnsi="Arial" w:cs="Arial"/>
          <w:b/>
          <w:sz w:val="22"/>
          <w:szCs w:val="22"/>
          <w:lang w:val="ru-RU"/>
        </w:rPr>
      </w:pPr>
    </w:p>
    <w:p w14:paraId="661EBC58" w14:textId="77777777" w:rsidR="002C648F" w:rsidRPr="00CA43C7" w:rsidRDefault="002C648F" w:rsidP="002C648F">
      <w:pPr>
        <w:pStyle w:val="1"/>
        <w:jc w:val="both"/>
        <w:rPr>
          <w:rFonts w:ascii="Arial" w:hAnsi="Arial" w:cs="Arial"/>
          <w:b/>
          <w:sz w:val="22"/>
          <w:szCs w:val="22"/>
          <w:lang w:val="ru-RU"/>
        </w:rPr>
      </w:pPr>
    </w:p>
    <w:p w14:paraId="442C725B" w14:textId="77777777" w:rsidR="007E5CE9" w:rsidRDefault="007E5CE9" w:rsidP="002C648F">
      <w:pPr>
        <w:jc w:val="center"/>
        <w:rPr>
          <w:b/>
          <w:sz w:val="22"/>
          <w:szCs w:val="22"/>
        </w:rPr>
      </w:pPr>
    </w:p>
    <w:p w14:paraId="782BE698" w14:textId="77777777" w:rsidR="007E5CE9" w:rsidRDefault="007E5CE9" w:rsidP="002C648F">
      <w:pPr>
        <w:jc w:val="center"/>
        <w:rPr>
          <w:b/>
          <w:sz w:val="22"/>
          <w:szCs w:val="22"/>
        </w:rPr>
      </w:pPr>
    </w:p>
    <w:p w14:paraId="473A57BE" w14:textId="77777777" w:rsidR="007E5CE9" w:rsidRDefault="007E5CE9" w:rsidP="002C648F">
      <w:pPr>
        <w:jc w:val="center"/>
        <w:rPr>
          <w:b/>
          <w:sz w:val="22"/>
          <w:szCs w:val="22"/>
        </w:rPr>
      </w:pPr>
    </w:p>
    <w:p w14:paraId="2444FE0D" w14:textId="77777777" w:rsidR="007E5CE9" w:rsidRDefault="007E5CE9" w:rsidP="002C648F">
      <w:pPr>
        <w:jc w:val="center"/>
        <w:rPr>
          <w:b/>
          <w:sz w:val="22"/>
          <w:szCs w:val="22"/>
        </w:rPr>
      </w:pPr>
    </w:p>
    <w:p w14:paraId="05D2ED07" w14:textId="77777777" w:rsidR="007E5CE9" w:rsidRDefault="007E5CE9" w:rsidP="002C648F">
      <w:pPr>
        <w:jc w:val="center"/>
        <w:rPr>
          <w:b/>
          <w:sz w:val="22"/>
          <w:szCs w:val="22"/>
        </w:rPr>
      </w:pPr>
    </w:p>
    <w:p w14:paraId="07DBD0C8" w14:textId="77777777" w:rsidR="007E5CE9" w:rsidRDefault="007E5CE9" w:rsidP="002C648F">
      <w:pPr>
        <w:jc w:val="center"/>
        <w:rPr>
          <w:b/>
          <w:sz w:val="22"/>
          <w:szCs w:val="22"/>
        </w:rPr>
      </w:pPr>
    </w:p>
    <w:p w14:paraId="16E534B8" w14:textId="77777777" w:rsidR="007E5CE9" w:rsidRDefault="007E5CE9" w:rsidP="002C648F">
      <w:pPr>
        <w:jc w:val="center"/>
        <w:rPr>
          <w:b/>
          <w:sz w:val="22"/>
          <w:szCs w:val="22"/>
        </w:rPr>
      </w:pPr>
    </w:p>
    <w:p w14:paraId="722422D3" w14:textId="77777777" w:rsidR="007E5CE9" w:rsidRDefault="007E5CE9" w:rsidP="002C648F">
      <w:pPr>
        <w:jc w:val="center"/>
        <w:rPr>
          <w:b/>
          <w:sz w:val="22"/>
          <w:szCs w:val="22"/>
        </w:rPr>
      </w:pPr>
    </w:p>
    <w:p w14:paraId="6F58EA64" w14:textId="77777777" w:rsidR="007E5CE9" w:rsidRDefault="007E5CE9" w:rsidP="002C648F">
      <w:pPr>
        <w:jc w:val="center"/>
        <w:rPr>
          <w:b/>
          <w:sz w:val="22"/>
          <w:szCs w:val="22"/>
        </w:rPr>
      </w:pPr>
    </w:p>
    <w:p w14:paraId="4124F457" w14:textId="77777777" w:rsidR="007E5CE9" w:rsidRDefault="007E5CE9" w:rsidP="002C648F">
      <w:pPr>
        <w:jc w:val="center"/>
        <w:rPr>
          <w:b/>
          <w:sz w:val="22"/>
          <w:szCs w:val="22"/>
        </w:rPr>
      </w:pPr>
    </w:p>
    <w:p w14:paraId="41BE8ABE" w14:textId="77777777" w:rsidR="00DA3EFF" w:rsidRDefault="002C648F" w:rsidP="00DA3EFF">
      <w:pPr>
        <w:jc w:val="center"/>
        <w:rPr>
          <w:b/>
          <w:sz w:val="22"/>
          <w:szCs w:val="22"/>
        </w:rPr>
      </w:pPr>
      <w:r w:rsidRPr="00CA43C7">
        <w:rPr>
          <w:b/>
          <w:sz w:val="22"/>
          <w:szCs w:val="22"/>
        </w:rPr>
        <w:t>город Москва</w:t>
      </w:r>
    </w:p>
    <w:p w14:paraId="45DD6C65" w14:textId="77777777" w:rsidR="001167EA" w:rsidRPr="001167EA" w:rsidRDefault="00DA3EFF" w:rsidP="001167EA">
      <w:pPr>
        <w:pStyle w:val="a3"/>
        <w:numPr>
          <w:ilvl w:val="0"/>
          <w:numId w:val="14"/>
        </w:numPr>
        <w:spacing w:after="240" w:line="259" w:lineRule="auto"/>
        <w:ind w:left="357" w:hanging="357"/>
        <w:contextualSpacing w:val="0"/>
        <w:jc w:val="center"/>
        <w:rPr>
          <w:b/>
          <w:sz w:val="22"/>
          <w:szCs w:val="22"/>
        </w:rPr>
      </w:pPr>
      <w:r w:rsidRPr="001167EA">
        <w:rPr>
          <w:b/>
          <w:sz w:val="22"/>
          <w:szCs w:val="22"/>
        </w:rPr>
        <w:br w:type="page"/>
      </w:r>
      <w:r w:rsidR="00BA3FA5" w:rsidRPr="001167EA">
        <w:rPr>
          <w:b/>
          <w:sz w:val="22"/>
          <w:szCs w:val="22"/>
        </w:rPr>
        <w:lastRenderedPageBreak/>
        <w:t>Общие положения</w:t>
      </w:r>
    </w:p>
    <w:p w14:paraId="5A944292" w14:textId="595C9E5D" w:rsidR="001167EA" w:rsidRDefault="00BA3FA5" w:rsidP="001167EA">
      <w:pPr>
        <w:pStyle w:val="a3"/>
        <w:numPr>
          <w:ilvl w:val="1"/>
          <w:numId w:val="14"/>
        </w:numPr>
        <w:spacing w:after="120" w:line="259" w:lineRule="auto"/>
        <w:ind w:left="567" w:hanging="567"/>
        <w:contextualSpacing w:val="0"/>
        <w:jc w:val="both"/>
        <w:rPr>
          <w:sz w:val="22"/>
          <w:szCs w:val="22"/>
        </w:rPr>
      </w:pPr>
      <w:r w:rsidRPr="00CA43C7">
        <w:rPr>
          <w:sz w:val="22"/>
          <w:szCs w:val="22"/>
        </w:rPr>
        <w:t xml:space="preserve">Общая методика оценки имущества доверительного управления </w:t>
      </w:r>
      <w:r w:rsidR="00CE195E">
        <w:rPr>
          <w:sz w:val="22"/>
          <w:szCs w:val="22"/>
        </w:rPr>
        <w:t xml:space="preserve">Акционерного Общества </w:t>
      </w:r>
      <w:r w:rsidRPr="00CA43C7">
        <w:rPr>
          <w:sz w:val="22"/>
          <w:szCs w:val="22"/>
        </w:rPr>
        <w:t>«Управляющая компания «</w:t>
      </w:r>
      <w:r w:rsidR="00CE195E">
        <w:rPr>
          <w:sz w:val="22"/>
          <w:szCs w:val="22"/>
        </w:rPr>
        <w:t xml:space="preserve">Мой </w:t>
      </w:r>
      <w:r w:rsidRPr="00CA43C7">
        <w:rPr>
          <w:sz w:val="22"/>
          <w:szCs w:val="22"/>
        </w:rPr>
        <w:t>Капитал» (далее – Методика)  разработана в соответствии с требованиями Федерального закона от 22.04.1996 года № 39-ФЗ «О рынке ценных бумаг»,  Положения Банка России от 31.01.2017 № 577-П «О правилах ведения внутреннего учета профессиональными участниками рынка ценных бумаг, осуществляющими брокерскую деятельность, дилерскую деятельности и деятельность по управлению ценными бумагами»,  Положения Банка России от 03.08.2015 № 482-П «О единых требованиях к правилам осуществления деятельности по управлению ценными бумагами, к порядку раскрытия управляющими информации, а также о требованиях, направленных на исключение конфликта интересов управляющего</w:t>
      </w:r>
      <w:r w:rsidR="00DA3EFF">
        <w:rPr>
          <w:sz w:val="22"/>
          <w:szCs w:val="22"/>
        </w:rPr>
        <w:t>»</w:t>
      </w:r>
      <w:r w:rsidRPr="00CA43C7">
        <w:rPr>
          <w:sz w:val="22"/>
          <w:szCs w:val="22"/>
        </w:rPr>
        <w:t xml:space="preserve">, иными требованиями, предъявляемыми уполномоченными федеральными органами исполнительной власти Российской Федерации к ведению внутреннего учета профессиональными участниками рынка ценных бумаг, а также с учетом особенностей деятельности </w:t>
      </w:r>
      <w:r w:rsidR="00CE195E">
        <w:rPr>
          <w:sz w:val="22"/>
          <w:szCs w:val="22"/>
        </w:rPr>
        <w:t xml:space="preserve">Акционерного Общества </w:t>
      </w:r>
      <w:r w:rsidR="00CE195E" w:rsidRPr="00CA43C7">
        <w:rPr>
          <w:sz w:val="22"/>
          <w:szCs w:val="22"/>
        </w:rPr>
        <w:t>«Управляющая компания «</w:t>
      </w:r>
      <w:r w:rsidR="00CE195E">
        <w:rPr>
          <w:sz w:val="22"/>
          <w:szCs w:val="22"/>
        </w:rPr>
        <w:t xml:space="preserve">Мой </w:t>
      </w:r>
      <w:r w:rsidR="00CE195E" w:rsidRPr="00CA43C7">
        <w:rPr>
          <w:sz w:val="22"/>
          <w:szCs w:val="22"/>
        </w:rPr>
        <w:t xml:space="preserve">Капитал» </w:t>
      </w:r>
      <w:r w:rsidRPr="00CA43C7">
        <w:rPr>
          <w:sz w:val="22"/>
          <w:szCs w:val="22"/>
        </w:rPr>
        <w:t xml:space="preserve">(далее – </w:t>
      </w:r>
      <w:r w:rsidR="007E5CE9" w:rsidRPr="00CA43C7">
        <w:rPr>
          <w:sz w:val="22"/>
          <w:szCs w:val="22"/>
        </w:rPr>
        <w:t>Управляющий</w:t>
      </w:r>
      <w:r w:rsidRPr="00CA43C7">
        <w:rPr>
          <w:sz w:val="22"/>
          <w:szCs w:val="22"/>
        </w:rPr>
        <w:t>).</w:t>
      </w:r>
    </w:p>
    <w:p w14:paraId="04CAB9C1" w14:textId="77777777" w:rsidR="001167EA" w:rsidRDefault="00BA3FA5" w:rsidP="001167EA">
      <w:pPr>
        <w:pStyle w:val="a3"/>
        <w:numPr>
          <w:ilvl w:val="1"/>
          <w:numId w:val="14"/>
        </w:numPr>
        <w:spacing w:after="120" w:line="259" w:lineRule="auto"/>
        <w:ind w:left="567" w:hanging="567"/>
        <w:contextualSpacing w:val="0"/>
        <w:jc w:val="both"/>
        <w:rPr>
          <w:sz w:val="22"/>
          <w:szCs w:val="22"/>
        </w:rPr>
      </w:pPr>
      <w:r w:rsidRPr="001167EA">
        <w:rPr>
          <w:sz w:val="22"/>
          <w:szCs w:val="22"/>
        </w:rPr>
        <w:t xml:space="preserve">Методика разработана </w:t>
      </w:r>
      <w:r w:rsidR="00AB7C67" w:rsidRPr="001167EA">
        <w:rPr>
          <w:sz w:val="22"/>
          <w:szCs w:val="22"/>
        </w:rPr>
        <w:t>Управляющим</w:t>
      </w:r>
      <w:r w:rsidRPr="001167EA">
        <w:rPr>
          <w:sz w:val="22"/>
          <w:szCs w:val="22"/>
        </w:rPr>
        <w:t xml:space="preserve"> в целях определения стоимости имущества</w:t>
      </w:r>
      <w:r w:rsidR="00B06C27" w:rsidRPr="001167EA">
        <w:rPr>
          <w:sz w:val="22"/>
          <w:szCs w:val="22"/>
        </w:rPr>
        <w:t xml:space="preserve">, </w:t>
      </w:r>
      <w:r w:rsidRPr="001167EA">
        <w:rPr>
          <w:sz w:val="22"/>
          <w:szCs w:val="22"/>
        </w:rPr>
        <w:t xml:space="preserve">передаваемого </w:t>
      </w:r>
      <w:r w:rsidR="00B06C27" w:rsidRPr="001167EA">
        <w:rPr>
          <w:sz w:val="22"/>
          <w:szCs w:val="22"/>
        </w:rPr>
        <w:t>Учредителем управления</w:t>
      </w:r>
      <w:r w:rsidRPr="001167EA">
        <w:rPr>
          <w:sz w:val="22"/>
          <w:szCs w:val="22"/>
        </w:rPr>
        <w:t xml:space="preserve"> в доверительное управление, находяще</w:t>
      </w:r>
      <w:r w:rsidR="00DA3EFF" w:rsidRPr="001167EA">
        <w:rPr>
          <w:sz w:val="22"/>
          <w:szCs w:val="22"/>
        </w:rPr>
        <w:t>го</w:t>
      </w:r>
      <w:r w:rsidRPr="001167EA">
        <w:rPr>
          <w:sz w:val="22"/>
          <w:szCs w:val="22"/>
        </w:rPr>
        <w:t>ся в доверительном управлении</w:t>
      </w:r>
      <w:r w:rsidR="007E5CE9" w:rsidRPr="001167EA">
        <w:rPr>
          <w:sz w:val="22"/>
          <w:szCs w:val="22"/>
        </w:rPr>
        <w:t>, а также возвращаемого из доверительного управления</w:t>
      </w:r>
      <w:r w:rsidRPr="001167EA">
        <w:rPr>
          <w:sz w:val="22"/>
          <w:szCs w:val="22"/>
        </w:rPr>
        <w:t xml:space="preserve"> по договор</w:t>
      </w:r>
      <w:r w:rsidR="007E5CE9" w:rsidRPr="001167EA">
        <w:rPr>
          <w:sz w:val="22"/>
          <w:szCs w:val="22"/>
        </w:rPr>
        <w:t>ам</w:t>
      </w:r>
      <w:r w:rsidRPr="001167EA">
        <w:rPr>
          <w:sz w:val="22"/>
          <w:szCs w:val="22"/>
        </w:rPr>
        <w:t xml:space="preserve"> доверительного управления</w:t>
      </w:r>
      <w:r w:rsidR="007E5CE9" w:rsidRPr="001167EA">
        <w:rPr>
          <w:sz w:val="22"/>
          <w:szCs w:val="22"/>
        </w:rPr>
        <w:t xml:space="preserve"> ценными бумагами и средствами инвестирования в ценные бумаги на условиях индивидуальных и стандартных стратегий доверительного управления и договорам доверительного управления ценными бумагами на ведение индивидуального инвестиционного счета на условиях стандартных стратегий доверительного управления (далее – Договор доверительного управления)</w:t>
      </w:r>
      <w:r w:rsidRPr="001167EA">
        <w:rPr>
          <w:sz w:val="22"/>
          <w:szCs w:val="22"/>
        </w:rPr>
        <w:t>.</w:t>
      </w:r>
    </w:p>
    <w:p w14:paraId="7044C500" w14:textId="77777777" w:rsidR="0016536F" w:rsidRPr="001167EA" w:rsidRDefault="0016536F" w:rsidP="001167EA">
      <w:pPr>
        <w:pStyle w:val="a3"/>
        <w:numPr>
          <w:ilvl w:val="1"/>
          <w:numId w:val="14"/>
        </w:numPr>
        <w:spacing w:after="120" w:line="259" w:lineRule="auto"/>
        <w:ind w:left="567" w:hanging="567"/>
        <w:contextualSpacing w:val="0"/>
        <w:jc w:val="both"/>
        <w:rPr>
          <w:sz w:val="22"/>
          <w:szCs w:val="22"/>
        </w:rPr>
      </w:pPr>
      <w:r w:rsidRPr="001167EA">
        <w:rPr>
          <w:sz w:val="22"/>
          <w:szCs w:val="22"/>
        </w:rPr>
        <w:t>Термины, указанные в Методике с заглавной буквы, определение которых не содержатся отдельно в Методике, применяются в соответствии с определениями соответствующих терминов, предусмотренных Договором доверительного управления.</w:t>
      </w:r>
    </w:p>
    <w:p w14:paraId="1946916E" w14:textId="77777777" w:rsidR="00DA3EFF" w:rsidRDefault="00DA3EFF">
      <w:pPr>
        <w:spacing w:after="160" w:line="259" w:lineRule="auto"/>
        <w:rPr>
          <w:sz w:val="22"/>
          <w:szCs w:val="22"/>
        </w:rPr>
      </w:pPr>
      <w:r>
        <w:rPr>
          <w:sz w:val="22"/>
          <w:szCs w:val="22"/>
        </w:rPr>
        <w:br w:type="page"/>
      </w:r>
    </w:p>
    <w:p w14:paraId="4345E953" w14:textId="77777777" w:rsidR="00A422D4" w:rsidRPr="001167EA" w:rsidRDefault="00AB3120" w:rsidP="001167EA">
      <w:pPr>
        <w:pStyle w:val="a3"/>
        <w:numPr>
          <w:ilvl w:val="0"/>
          <w:numId w:val="14"/>
        </w:numPr>
        <w:spacing w:after="240" w:line="259" w:lineRule="auto"/>
        <w:ind w:left="357" w:hanging="357"/>
        <w:contextualSpacing w:val="0"/>
        <w:jc w:val="center"/>
        <w:rPr>
          <w:b/>
          <w:sz w:val="22"/>
          <w:szCs w:val="22"/>
        </w:rPr>
      </w:pPr>
      <w:r w:rsidRPr="00CA43C7">
        <w:rPr>
          <w:b/>
          <w:sz w:val="22"/>
          <w:szCs w:val="22"/>
        </w:rPr>
        <w:lastRenderedPageBreak/>
        <w:t>Порядок определения стоимости имущества</w:t>
      </w:r>
    </w:p>
    <w:p w14:paraId="6C14F01D" w14:textId="77777777" w:rsidR="004F53D1" w:rsidRPr="001167EA" w:rsidRDefault="004F53D1" w:rsidP="004F53D1">
      <w:pPr>
        <w:pStyle w:val="a3"/>
        <w:numPr>
          <w:ilvl w:val="1"/>
          <w:numId w:val="14"/>
        </w:numPr>
        <w:spacing w:after="120" w:line="259" w:lineRule="auto"/>
        <w:ind w:left="567" w:hanging="567"/>
        <w:contextualSpacing w:val="0"/>
        <w:jc w:val="both"/>
        <w:rPr>
          <w:sz w:val="22"/>
          <w:szCs w:val="22"/>
        </w:rPr>
      </w:pPr>
      <w:r w:rsidRPr="001167EA">
        <w:rPr>
          <w:sz w:val="22"/>
          <w:szCs w:val="22"/>
        </w:rPr>
        <w:t>Стороны устанавливают следующую методику оценки имущества Учр</w:t>
      </w:r>
      <w:r>
        <w:rPr>
          <w:sz w:val="22"/>
          <w:szCs w:val="22"/>
        </w:rPr>
        <w:t>едителя управления при приеме его</w:t>
      </w:r>
      <w:r w:rsidRPr="001167EA">
        <w:rPr>
          <w:sz w:val="22"/>
          <w:szCs w:val="22"/>
        </w:rPr>
        <w:t xml:space="preserve"> в управление от Учредителя управления</w:t>
      </w:r>
      <w:r>
        <w:rPr>
          <w:sz w:val="22"/>
          <w:szCs w:val="22"/>
        </w:rPr>
        <w:t>, при передаче возвращаемого имущества Учредителю управления, для целей определения дохода от управления</w:t>
      </w:r>
      <w:r w:rsidRPr="001167EA">
        <w:rPr>
          <w:sz w:val="22"/>
          <w:szCs w:val="22"/>
        </w:rPr>
        <w:t>, при указании в Отчете и в иных случаях, когда требуется такая оценка.</w:t>
      </w:r>
    </w:p>
    <w:p w14:paraId="7A4C7601" w14:textId="77777777" w:rsidR="004F53D1" w:rsidRDefault="004F53D1" w:rsidP="004F53D1">
      <w:pPr>
        <w:pStyle w:val="a3"/>
        <w:numPr>
          <w:ilvl w:val="1"/>
          <w:numId w:val="14"/>
        </w:numPr>
        <w:spacing w:after="120" w:line="259" w:lineRule="auto"/>
        <w:ind w:left="567" w:hanging="567"/>
        <w:contextualSpacing w:val="0"/>
        <w:jc w:val="both"/>
        <w:rPr>
          <w:sz w:val="22"/>
          <w:szCs w:val="22"/>
        </w:rPr>
      </w:pPr>
      <w:r w:rsidRPr="00CA43C7">
        <w:rPr>
          <w:sz w:val="22"/>
          <w:szCs w:val="22"/>
        </w:rPr>
        <w:t>Доход от управления имуществом, рассчитывается на Отчетную дату как разница между оценочной стоимостью имущества на Отчетную дату и оценочной стоимостью имущества на предшествующую Отчетную дату.</w:t>
      </w:r>
    </w:p>
    <w:p w14:paraId="6A7463D7" w14:textId="77777777" w:rsidR="002C648F" w:rsidRPr="001167EA" w:rsidRDefault="002C648F" w:rsidP="001167EA">
      <w:pPr>
        <w:pStyle w:val="a3"/>
        <w:numPr>
          <w:ilvl w:val="1"/>
          <w:numId w:val="14"/>
        </w:numPr>
        <w:spacing w:after="120" w:line="259" w:lineRule="auto"/>
        <w:ind w:left="567" w:hanging="567"/>
        <w:contextualSpacing w:val="0"/>
        <w:jc w:val="both"/>
        <w:rPr>
          <w:sz w:val="22"/>
          <w:szCs w:val="22"/>
        </w:rPr>
      </w:pPr>
      <w:r w:rsidRPr="001167EA">
        <w:rPr>
          <w:sz w:val="22"/>
          <w:szCs w:val="22"/>
        </w:rPr>
        <w:t>В случае если в течение Отчетного периода, за который рассчитывается доход</w:t>
      </w:r>
      <w:r w:rsidR="004F53D1">
        <w:rPr>
          <w:sz w:val="22"/>
          <w:szCs w:val="22"/>
        </w:rPr>
        <w:t xml:space="preserve"> от управления</w:t>
      </w:r>
      <w:r w:rsidRPr="001167EA">
        <w:rPr>
          <w:sz w:val="22"/>
          <w:szCs w:val="22"/>
        </w:rPr>
        <w:t>, в состав имущества, находящегося в управлении, дополнительно передавалось имущество, то для целей определения дохода оценочная стоимость имущества на Отчетную дату уменьшается на оценочную стоимость дополнительно переданного имущества.</w:t>
      </w:r>
    </w:p>
    <w:p w14:paraId="0E2728F1" w14:textId="77777777" w:rsidR="004F53D1" w:rsidRDefault="002C648F" w:rsidP="004F53D1">
      <w:pPr>
        <w:pStyle w:val="a3"/>
        <w:spacing w:after="120" w:line="259" w:lineRule="auto"/>
        <w:ind w:left="567"/>
        <w:contextualSpacing w:val="0"/>
        <w:jc w:val="both"/>
        <w:rPr>
          <w:sz w:val="22"/>
          <w:szCs w:val="22"/>
        </w:rPr>
      </w:pPr>
      <w:r w:rsidRPr="00CA43C7">
        <w:rPr>
          <w:sz w:val="22"/>
          <w:szCs w:val="22"/>
        </w:rPr>
        <w:t>В случае если в течение Отчетного периода часть имущества возвращалась из управления, то для целей определения дохода, оценочная стоимость имущества на Отчетную дату увеличивается на оценочную стоимость возвращенного из управления имущества.</w:t>
      </w:r>
    </w:p>
    <w:p w14:paraId="0F5A665E" w14:textId="77777777" w:rsidR="004F53D1" w:rsidRPr="004F53D1" w:rsidRDefault="002C648F" w:rsidP="004F53D1">
      <w:pPr>
        <w:pStyle w:val="a3"/>
        <w:numPr>
          <w:ilvl w:val="1"/>
          <w:numId w:val="14"/>
        </w:numPr>
        <w:spacing w:after="120" w:line="259" w:lineRule="auto"/>
        <w:ind w:left="567" w:hanging="567"/>
        <w:contextualSpacing w:val="0"/>
        <w:jc w:val="both"/>
        <w:rPr>
          <w:sz w:val="22"/>
          <w:szCs w:val="22"/>
        </w:rPr>
      </w:pPr>
      <w:r w:rsidRPr="004F53D1">
        <w:rPr>
          <w:sz w:val="22"/>
          <w:szCs w:val="22"/>
        </w:rPr>
        <w:t>Оценочная стоимость имущества, передаваемого в управление, рассчитывается как сумма денежных средств и оценочной стоимости ценных бумаг, определяемая передающей Стороной на дату передачи, включая дату передачи. Имущество передается в управление по оценочной стоимости.</w:t>
      </w:r>
    </w:p>
    <w:p w14:paraId="1A15DC33" w14:textId="77777777" w:rsidR="004F53D1" w:rsidRPr="004F53D1" w:rsidRDefault="00C72B45" w:rsidP="004F53D1">
      <w:pPr>
        <w:pStyle w:val="a3"/>
        <w:numPr>
          <w:ilvl w:val="1"/>
          <w:numId w:val="14"/>
        </w:numPr>
        <w:spacing w:after="120" w:line="259" w:lineRule="auto"/>
        <w:ind w:left="567" w:hanging="567"/>
        <w:contextualSpacing w:val="0"/>
        <w:jc w:val="both"/>
        <w:rPr>
          <w:sz w:val="22"/>
          <w:szCs w:val="22"/>
        </w:rPr>
      </w:pPr>
      <w:r w:rsidRPr="004F53D1">
        <w:rPr>
          <w:sz w:val="22"/>
          <w:szCs w:val="22"/>
        </w:rPr>
        <w:t xml:space="preserve"> </w:t>
      </w:r>
      <w:r w:rsidR="002C648F" w:rsidRPr="004F53D1">
        <w:rPr>
          <w:sz w:val="22"/>
          <w:szCs w:val="22"/>
        </w:rPr>
        <w:t>Оценочная стоимость имущества, возвращаемого из управления, рассчитывается как сумма денежных средств, дебиторской задолженности, возникшей в результате исполнения Договора</w:t>
      </w:r>
      <w:r w:rsidR="00C92631" w:rsidRPr="004F53D1">
        <w:rPr>
          <w:sz w:val="22"/>
          <w:szCs w:val="22"/>
        </w:rPr>
        <w:t xml:space="preserve"> доверительного управл</w:t>
      </w:r>
      <w:r w:rsidR="00FB4C26" w:rsidRPr="004F53D1">
        <w:rPr>
          <w:sz w:val="22"/>
          <w:szCs w:val="22"/>
        </w:rPr>
        <w:t>е</w:t>
      </w:r>
      <w:r w:rsidR="00C92631" w:rsidRPr="004F53D1">
        <w:rPr>
          <w:sz w:val="22"/>
          <w:szCs w:val="22"/>
        </w:rPr>
        <w:t>ния</w:t>
      </w:r>
      <w:r w:rsidR="002C648F" w:rsidRPr="004F53D1">
        <w:rPr>
          <w:sz w:val="22"/>
          <w:szCs w:val="22"/>
        </w:rPr>
        <w:t xml:space="preserve">, оценочной стоимости ценных бумаг, составляющих возвращаемое </w:t>
      </w:r>
      <w:r w:rsidR="00C92631" w:rsidRPr="004F53D1">
        <w:rPr>
          <w:sz w:val="22"/>
          <w:szCs w:val="22"/>
        </w:rPr>
        <w:t>и</w:t>
      </w:r>
      <w:r w:rsidR="002C648F" w:rsidRPr="004F53D1">
        <w:rPr>
          <w:sz w:val="22"/>
          <w:szCs w:val="22"/>
        </w:rPr>
        <w:t>мущество, определяемая передающей Стороной на дату передачи, включая дату передачи, с учетом существующих обязательств по   Договору</w:t>
      </w:r>
      <w:r w:rsidR="00C92631" w:rsidRPr="004F53D1">
        <w:rPr>
          <w:sz w:val="22"/>
          <w:szCs w:val="22"/>
        </w:rPr>
        <w:t xml:space="preserve"> доверительного управления</w:t>
      </w:r>
      <w:r w:rsidR="002C648F" w:rsidRPr="004F53D1">
        <w:rPr>
          <w:sz w:val="22"/>
          <w:szCs w:val="22"/>
        </w:rPr>
        <w:t>.</w:t>
      </w:r>
    </w:p>
    <w:p w14:paraId="53AD3EE8" w14:textId="77777777" w:rsidR="002C648F" w:rsidRPr="004F53D1" w:rsidRDefault="00C72B45" w:rsidP="004F53D1">
      <w:pPr>
        <w:pStyle w:val="a3"/>
        <w:numPr>
          <w:ilvl w:val="1"/>
          <w:numId w:val="14"/>
        </w:numPr>
        <w:spacing w:after="120" w:line="259" w:lineRule="auto"/>
        <w:ind w:left="567" w:hanging="567"/>
        <w:contextualSpacing w:val="0"/>
        <w:jc w:val="both"/>
        <w:rPr>
          <w:sz w:val="22"/>
          <w:szCs w:val="22"/>
        </w:rPr>
      </w:pPr>
      <w:r w:rsidRPr="004F53D1">
        <w:rPr>
          <w:iCs/>
          <w:sz w:val="22"/>
          <w:szCs w:val="22"/>
        </w:rPr>
        <w:t xml:space="preserve"> </w:t>
      </w:r>
      <w:r w:rsidR="002C648F" w:rsidRPr="004F53D1">
        <w:rPr>
          <w:iCs/>
          <w:sz w:val="22"/>
          <w:szCs w:val="22"/>
        </w:rPr>
        <w:t>Оценочная стоимость имущества, находящегося в управлении</w:t>
      </w:r>
      <w:r w:rsidR="002C648F" w:rsidRPr="004F53D1">
        <w:rPr>
          <w:sz w:val="22"/>
          <w:szCs w:val="22"/>
        </w:rPr>
        <w:t xml:space="preserve">, в целях определения дохода от управления рассчитывается как сумма денежных средств и оценочной стоимости ценных бумаг, составляющих </w:t>
      </w:r>
      <w:r w:rsidR="00C92631" w:rsidRPr="004F53D1">
        <w:rPr>
          <w:sz w:val="22"/>
          <w:szCs w:val="22"/>
        </w:rPr>
        <w:t>и</w:t>
      </w:r>
      <w:r w:rsidR="002C648F" w:rsidRPr="004F53D1">
        <w:rPr>
          <w:sz w:val="22"/>
          <w:szCs w:val="22"/>
        </w:rPr>
        <w:t xml:space="preserve">мущество, дебиторской, кредиторской задолженности по состоянию на отчетную дату. </w:t>
      </w:r>
    </w:p>
    <w:p w14:paraId="385334D4" w14:textId="77777777" w:rsidR="001167EA" w:rsidRDefault="002C648F" w:rsidP="001167EA">
      <w:pPr>
        <w:pStyle w:val="a3"/>
        <w:numPr>
          <w:ilvl w:val="2"/>
          <w:numId w:val="14"/>
        </w:numPr>
        <w:spacing w:after="120" w:line="259" w:lineRule="auto"/>
        <w:ind w:left="567" w:hanging="567"/>
        <w:contextualSpacing w:val="0"/>
        <w:jc w:val="both"/>
        <w:rPr>
          <w:iCs/>
          <w:sz w:val="22"/>
          <w:szCs w:val="22"/>
        </w:rPr>
      </w:pPr>
      <w:r w:rsidRPr="00CA43C7">
        <w:rPr>
          <w:sz w:val="22"/>
          <w:szCs w:val="22"/>
        </w:rPr>
        <w:t>Оценочная стоимость денежных средств равна сумме этих денежных средств, выраженной в рублях Российской Федерации.</w:t>
      </w:r>
      <w:r w:rsidR="00B93A45">
        <w:rPr>
          <w:sz w:val="22"/>
          <w:szCs w:val="22"/>
        </w:rPr>
        <w:t xml:space="preserve"> </w:t>
      </w:r>
    </w:p>
    <w:p w14:paraId="6B1E8E17" w14:textId="77777777" w:rsidR="002C648F" w:rsidRPr="001167EA" w:rsidRDefault="002C648F" w:rsidP="001167EA">
      <w:pPr>
        <w:pStyle w:val="a3"/>
        <w:numPr>
          <w:ilvl w:val="2"/>
          <w:numId w:val="14"/>
        </w:numPr>
        <w:spacing w:after="120" w:line="259" w:lineRule="auto"/>
        <w:ind w:left="567" w:hanging="567"/>
        <w:contextualSpacing w:val="0"/>
        <w:jc w:val="both"/>
        <w:rPr>
          <w:iCs/>
          <w:sz w:val="22"/>
          <w:szCs w:val="22"/>
        </w:rPr>
      </w:pPr>
      <w:r w:rsidRPr="001167EA">
        <w:rPr>
          <w:iCs/>
          <w:sz w:val="22"/>
          <w:szCs w:val="22"/>
        </w:rPr>
        <w:t xml:space="preserve">Оценочная стоимость ценных бумаг </w:t>
      </w:r>
      <w:r w:rsidRPr="001167EA">
        <w:rPr>
          <w:sz w:val="22"/>
          <w:szCs w:val="22"/>
        </w:rPr>
        <w:t xml:space="preserve">определяется </w:t>
      </w:r>
      <w:r w:rsidR="00522A07" w:rsidRPr="001167EA">
        <w:rPr>
          <w:sz w:val="22"/>
          <w:szCs w:val="22"/>
        </w:rPr>
        <w:t>исходя из рыночных цен, получаемых Управляющим из следующих источников данных</w:t>
      </w:r>
      <w:r w:rsidRPr="001167EA">
        <w:rPr>
          <w:sz w:val="22"/>
          <w:szCs w:val="22"/>
        </w:rPr>
        <w:t>:</w:t>
      </w:r>
    </w:p>
    <w:p w14:paraId="0E3E09D6" w14:textId="77777777" w:rsidR="00522A07" w:rsidRDefault="00522A07" w:rsidP="00D228C9">
      <w:pPr>
        <w:pStyle w:val="a3"/>
        <w:numPr>
          <w:ilvl w:val="0"/>
          <w:numId w:val="7"/>
        </w:numPr>
        <w:jc w:val="both"/>
        <w:rPr>
          <w:sz w:val="22"/>
          <w:szCs w:val="22"/>
        </w:rPr>
      </w:pPr>
      <w:r>
        <w:rPr>
          <w:sz w:val="22"/>
          <w:szCs w:val="22"/>
        </w:rPr>
        <w:t>ПАО «</w:t>
      </w:r>
      <w:r w:rsidR="00D228C9" w:rsidRPr="00D228C9">
        <w:rPr>
          <w:sz w:val="22"/>
          <w:szCs w:val="22"/>
        </w:rPr>
        <w:t>Московская Биржа ММВБ-РТС</w:t>
      </w:r>
      <w:r>
        <w:rPr>
          <w:sz w:val="22"/>
          <w:szCs w:val="22"/>
        </w:rPr>
        <w:t>»</w:t>
      </w:r>
      <w:r w:rsidRPr="00D228C9">
        <w:rPr>
          <w:sz w:val="22"/>
          <w:szCs w:val="22"/>
        </w:rPr>
        <w:t>;</w:t>
      </w:r>
    </w:p>
    <w:p w14:paraId="7D0C056B" w14:textId="77777777" w:rsidR="00522A07" w:rsidRPr="00522A07" w:rsidRDefault="00522A07" w:rsidP="00522A07">
      <w:pPr>
        <w:pStyle w:val="a3"/>
        <w:numPr>
          <w:ilvl w:val="0"/>
          <w:numId w:val="7"/>
        </w:numPr>
        <w:jc w:val="both"/>
        <w:rPr>
          <w:sz w:val="22"/>
          <w:szCs w:val="22"/>
        </w:rPr>
      </w:pPr>
      <w:r>
        <w:rPr>
          <w:color w:val="000000"/>
          <w:sz w:val="21"/>
          <w:szCs w:val="21"/>
        </w:rPr>
        <w:t>ПАО «СПБ Биржа»</w:t>
      </w:r>
      <w:r>
        <w:rPr>
          <w:color w:val="000000"/>
          <w:sz w:val="21"/>
          <w:szCs w:val="21"/>
          <w:lang w:val="en-US"/>
        </w:rPr>
        <w:t>;</w:t>
      </w:r>
    </w:p>
    <w:p w14:paraId="5138E04B" w14:textId="77777777" w:rsidR="00522A07" w:rsidRPr="00522A07" w:rsidRDefault="00522A07" w:rsidP="00522A07">
      <w:pPr>
        <w:pStyle w:val="a3"/>
        <w:numPr>
          <w:ilvl w:val="0"/>
          <w:numId w:val="7"/>
        </w:numPr>
        <w:jc w:val="both"/>
        <w:rPr>
          <w:sz w:val="22"/>
          <w:szCs w:val="22"/>
        </w:rPr>
      </w:pPr>
      <w:r>
        <w:rPr>
          <w:sz w:val="22"/>
          <w:szCs w:val="22"/>
        </w:rPr>
        <w:t xml:space="preserve">Информационное агентство </w:t>
      </w:r>
      <w:r>
        <w:rPr>
          <w:sz w:val="22"/>
          <w:szCs w:val="22"/>
          <w:lang w:val="en-US"/>
        </w:rPr>
        <w:t>Bloomberg;</w:t>
      </w:r>
    </w:p>
    <w:p w14:paraId="0E0171FE" w14:textId="77777777" w:rsidR="00522A07" w:rsidRPr="00522A07" w:rsidRDefault="00522A07" w:rsidP="00522A07">
      <w:pPr>
        <w:pStyle w:val="a3"/>
        <w:numPr>
          <w:ilvl w:val="0"/>
          <w:numId w:val="7"/>
        </w:numPr>
        <w:jc w:val="both"/>
        <w:rPr>
          <w:sz w:val="22"/>
          <w:szCs w:val="22"/>
        </w:rPr>
      </w:pPr>
      <w:r>
        <w:rPr>
          <w:sz w:val="22"/>
          <w:szCs w:val="22"/>
        </w:rPr>
        <w:t>Сервисы группы компаний</w:t>
      </w:r>
      <w:r>
        <w:rPr>
          <w:sz w:val="22"/>
          <w:szCs w:val="22"/>
          <w:lang w:val="en-US"/>
        </w:rPr>
        <w:t xml:space="preserve"> CBonds;</w:t>
      </w:r>
    </w:p>
    <w:p w14:paraId="687EE175" w14:textId="77777777" w:rsidR="00522A07" w:rsidRPr="00522A07" w:rsidRDefault="00522A07" w:rsidP="00522A07">
      <w:pPr>
        <w:pStyle w:val="a3"/>
        <w:numPr>
          <w:ilvl w:val="0"/>
          <w:numId w:val="7"/>
        </w:numPr>
        <w:jc w:val="both"/>
        <w:rPr>
          <w:sz w:val="22"/>
          <w:szCs w:val="22"/>
        </w:rPr>
      </w:pPr>
      <w:r>
        <w:rPr>
          <w:sz w:val="22"/>
          <w:szCs w:val="22"/>
        </w:rPr>
        <w:t xml:space="preserve">Сервис получения данных </w:t>
      </w:r>
      <w:r w:rsidRPr="00522A07">
        <w:rPr>
          <w:sz w:val="22"/>
          <w:szCs w:val="22"/>
        </w:rPr>
        <w:t>RU Data</w:t>
      </w:r>
      <w:r>
        <w:rPr>
          <w:sz w:val="22"/>
          <w:szCs w:val="22"/>
        </w:rPr>
        <w:t>;</w:t>
      </w:r>
    </w:p>
    <w:p w14:paraId="669C2A95" w14:textId="77777777" w:rsidR="00502D64" w:rsidRDefault="00522A07" w:rsidP="00522A07">
      <w:pPr>
        <w:pStyle w:val="a3"/>
        <w:numPr>
          <w:ilvl w:val="0"/>
          <w:numId w:val="7"/>
        </w:numPr>
        <w:jc w:val="both"/>
        <w:rPr>
          <w:sz w:val="22"/>
          <w:szCs w:val="22"/>
        </w:rPr>
      </w:pPr>
      <w:r>
        <w:rPr>
          <w:sz w:val="22"/>
          <w:szCs w:val="22"/>
        </w:rPr>
        <w:t>Открытые интернет-источники данных по ценам (для паев российских инвестиционных фондов)</w:t>
      </w:r>
      <w:r w:rsidR="00502D64">
        <w:rPr>
          <w:sz w:val="22"/>
          <w:szCs w:val="22"/>
        </w:rPr>
        <w:t>;</w:t>
      </w:r>
    </w:p>
    <w:p w14:paraId="101A713F" w14:textId="77777777" w:rsidR="00502D64" w:rsidRDefault="00502D64" w:rsidP="00522A07">
      <w:pPr>
        <w:pStyle w:val="a3"/>
        <w:numPr>
          <w:ilvl w:val="0"/>
          <w:numId w:val="7"/>
        </w:numPr>
        <w:jc w:val="both"/>
        <w:rPr>
          <w:sz w:val="22"/>
          <w:szCs w:val="22"/>
        </w:rPr>
      </w:pPr>
      <w:r>
        <w:rPr>
          <w:sz w:val="22"/>
          <w:szCs w:val="22"/>
        </w:rPr>
        <w:t xml:space="preserve">Закрытые источники </w:t>
      </w:r>
      <w:r w:rsidR="00504FAA">
        <w:rPr>
          <w:sz w:val="22"/>
          <w:szCs w:val="22"/>
        </w:rPr>
        <w:t xml:space="preserve">данных </w:t>
      </w:r>
      <w:r>
        <w:rPr>
          <w:sz w:val="22"/>
          <w:szCs w:val="22"/>
        </w:rPr>
        <w:t>по котировкам структурных нот и внебиржевых опционов (данные от контрагентов или лиц, выпустивших опцион).</w:t>
      </w:r>
    </w:p>
    <w:p w14:paraId="61772C91" w14:textId="77777777" w:rsidR="00522A07" w:rsidRDefault="00522A07" w:rsidP="00DD794C">
      <w:pPr>
        <w:pStyle w:val="a3"/>
        <w:jc w:val="both"/>
        <w:rPr>
          <w:sz w:val="22"/>
          <w:szCs w:val="22"/>
        </w:rPr>
      </w:pPr>
    </w:p>
    <w:p w14:paraId="33F596BC" w14:textId="77777777" w:rsidR="005F19B5" w:rsidRDefault="00AB7C67" w:rsidP="005F19B5">
      <w:pPr>
        <w:jc w:val="both"/>
        <w:rPr>
          <w:sz w:val="22"/>
          <w:szCs w:val="22"/>
        </w:rPr>
      </w:pPr>
      <w:r>
        <w:rPr>
          <w:sz w:val="22"/>
          <w:szCs w:val="22"/>
        </w:rPr>
        <w:t>Отдельные источники данных, указанные в настоящем пункте Методики, могут быт</w:t>
      </w:r>
      <w:r w:rsidR="006660B0">
        <w:rPr>
          <w:sz w:val="22"/>
          <w:szCs w:val="22"/>
        </w:rPr>
        <w:t>ь</w:t>
      </w:r>
      <w:r>
        <w:rPr>
          <w:sz w:val="22"/>
          <w:szCs w:val="22"/>
        </w:rPr>
        <w:t xml:space="preserve"> частично или полностью недоступны Управляющему на момент необходимости их использования </w:t>
      </w:r>
      <w:r w:rsidR="00642919">
        <w:rPr>
          <w:sz w:val="22"/>
          <w:szCs w:val="22"/>
        </w:rPr>
        <w:t xml:space="preserve">Управляющим </w:t>
      </w:r>
      <w:r>
        <w:rPr>
          <w:sz w:val="22"/>
          <w:szCs w:val="22"/>
        </w:rPr>
        <w:t xml:space="preserve">для целей настоящей Методики в связи </w:t>
      </w:r>
      <w:r w:rsidR="006660B0">
        <w:rPr>
          <w:sz w:val="22"/>
          <w:szCs w:val="22"/>
        </w:rPr>
        <w:t xml:space="preserve">с </w:t>
      </w:r>
      <w:r w:rsidR="00642919">
        <w:rPr>
          <w:sz w:val="22"/>
          <w:szCs w:val="22"/>
        </w:rPr>
        <w:t xml:space="preserve">наличием </w:t>
      </w:r>
      <w:r>
        <w:rPr>
          <w:sz w:val="22"/>
          <w:szCs w:val="22"/>
        </w:rPr>
        <w:t xml:space="preserve">внешних </w:t>
      </w:r>
      <w:r>
        <w:rPr>
          <w:sz w:val="22"/>
          <w:szCs w:val="22"/>
        </w:rPr>
        <w:lastRenderedPageBreak/>
        <w:t>ограничений, независящих от действи</w:t>
      </w:r>
      <w:r w:rsidR="00044D21">
        <w:rPr>
          <w:sz w:val="22"/>
          <w:szCs w:val="22"/>
        </w:rPr>
        <w:t>й</w:t>
      </w:r>
      <w:r>
        <w:rPr>
          <w:sz w:val="22"/>
          <w:szCs w:val="22"/>
        </w:rPr>
        <w:t xml:space="preserve"> Управляющего</w:t>
      </w:r>
      <w:r w:rsidR="00642919">
        <w:rPr>
          <w:sz w:val="22"/>
          <w:szCs w:val="22"/>
        </w:rPr>
        <w:t>,</w:t>
      </w:r>
      <w:r>
        <w:rPr>
          <w:sz w:val="22"/>
          <w:szCs w:val="22"/>
        </w:rPr>
        <w:t xml:space="preserve"> и(или) отказом поставщика источник</w:t>
      </w:r>
      <w:r w:rsidR="00642919">
        <w:rPr>
          <w:sz w:val="22"/>
          <w:szCs w:val="22"/>
        </w:rPr>
        <w:t>а данных в предоставлении соответствующих данных.</w:t>
      </w:r>
      <w:r>
        <w:rPr>
          <w:sz w:val="22"/>
          <w:szCs w:val="22"/>
        </w:rPr>
        <w:t xml:space="preserve">     </w:t>
      </w:r>
    </w:p>
    <w:p w14:paraId="6FA47EE3" w14:textId="77777777" w:rsidR="00AB7C67" w:rsidRDefault="00AB7C67" w:rsidP="005F19B5">
      <w:pPr>
        <w:jc w:val="both"/>
        <w:rPr>
          <w:sz w:val="22"/>
          <w:szCs w:val="22"/>
        </w:rPr>
      </w:pPr>
    </w:p>
    <w:p w14:paraId="14A4CD71" w14:textId="23A147D7" w:rsidR="005F1062" w:rsidRDefault="005F1062" w:rsidP="005F1062">
      <w:pPr>
        <w:ind w:firstLine="284"/>
        <w:jc w:val="both"/>
        <w:rPr>
          <w:sz w:val="22"/>
          <w:szCs w:val="22"/>
        </w:rPr>
      </w:pPr>
      <w:r>
        <w:rPr>
          <w:sz w:val="22"/>
          <w:szCs w:val="22"/>
        </w:rPr>
        <w:t>У</w:t>
      </w:r>
      <w:r w:rsidR="0066368F">
        <w:rPr>
          <w:sz w:val="22"/>
          <w:szCs w:val="22"/>
        </w:rPr>
        <w:t>правляющий использует следующие</w:t>
      </w:r>
      <w:r w:rsidR="00682684">
        <w:rPr>
          <w:sz w:val="22"/>
          <w:szCs w:val="22"/>
        </w:rPr>
        <w:t xml:space="preserve"> рынки в </w:t>
      </w:r>
      <w:r>
        <w:rPr>
          <w:sz w:val="22"/>
          <w:szCs w:val="22"/>
        </w:rPr>
        <w:t>источник</w:t>
      </w:r>
      <w:r w:rsidR="00682684">
        <w:rPr>
          <w:sz w:val="22"/>
          <w:szCs w:val="22"/>
        </w:rPr>
        <w:t>ах</w:t>
      </w:r>
      <w:r>
        <w:rPr>
          <w:sz w:val="22"/>
          <w:szCs w:val="22"/>
        </w:rPr>
        <w:t xml:space="preserve"> данных:</w:t>
      </w:r>
    </w:p>
    <w:p w14:paraId="116A2F03" w14:textId="77777777" w:rsidR="005F1062" w:rsidRDefault="005F1062" w:rsidP="005F1062">
      <w:pPr>
        <w:ind w:firstLine="284"/>
        <w:jc w:val="both"/>
        <w:rPr>
          <w:sz w:val="22"/>
          <w:szCs w:val="22"/>
        </w:rPr>
      </w:pPr>
    </w:p>
    <w:p w14:paraId="319A3A17" w14:textId="77777777" w:rsidR="005F1062" w:rsidRDefault="00167D25" w:rsidP="00167D25">
      <w:pPr>
        <w:pStyle w:val="a3"/>
        <w:numPr>
          <w:ilvl w:val="0"/>
          <w:numId w:val="11"/>
        </w:numPr>
        <w:jc w:val="both"/>
        <w:rPr>
          <w:sz w:val="22"/>
          <w:szCs w:val="22"/>
        </w:rPr>
      </w:pPr>
      <w:r>
        <w:rPr>
          <w:sz w:val="22"/>
          <w:szCs w:val="22"/>
        </w:rPr>
        <w:t xml:space="preserve">для ПАО «Московская Биржа» и ПАО «СПБ Биржа» </w:t>
      </w:r>
      <w:r w:rsidR="0066368F">
        <w:rPr>
          <w:sz w:val="22"/>
          <w:szCs w:val="22"/>
        </w:rPr>
        <w:t xml:space="preserve">анализируются </w:t>
      </w:r>
      <w:r w:rsidR="00044D21">
        <w:rPr>
          <w:sz w:val="22"/>
          <w:szCs w:val="22"/>
        </w:rPr>
        <w:t>все доступные секции торгов</w:t>
      </w:r>
      <w:r w:rsidR="00C111C7">
        <w:rPr>
          <w:sz w:val="22"/>
          <w:szCs w:val="22"/>
        </w:rPr>
        <w:t xml:space="preserve"> (</w:t>
      </w:r>
      <w:r w:rsidR="00C111C7">
        <w:rPr>
          <w:sz w:val="22"/>
          <w:szCs w:val="22"/>
          <w:lang w:val="en-US"/>
        </w:rPr>
        <w:t>BOARD</w:t>
      </w:r>
      <w:r w:rsidR="00C111C7" w:rsidRPr="00C111C7">
        <w:rPr>
          <w:sz w:val="22"/>
          <w:szCs w:val="22"/>
        </w:rPr>
        <w:t>),</w:t>
      </w:r>
      <w:r w:rsidR="00C111C7">
        <w:rPr>
          <w:sz w:val="22"/>
          <w:szCs w:val="22"/>
        </w:rPr>
        <w:t xml:space="preserve"> а также информация о внебиржевых сделках</w:t>
      </w:r>
      <w:r w:rsidR="00044D21">
        <w:rPr>
          <w:sz w:val="22"/>
          <w:szCs w:val="22"/>
        </w:rPr>
        <w:t>.</w:t>
      </w:r>
    </w:p>
    <w:p w14:paraId="04B36072" w14:textId="77777777" w:rsidR="00167D25" w:rsidRDefault="00167D25" w:rsidP="00167D25">
      <w:pPr>
        <w:pStyle w:val="a3"/>
        <w:numPr>
          <w:ilvl w:val="0"/>
          <w:numId w:val="11"/>
        </w:numPr>
        <w:jc w:val="both"/>
        <w:rPr>
          <w:sz w:val="22"/>
          <w:szCs w:val="22"/>
        </w:rPr>
      </w:pPr>
      <w:r>
        <w:rPr>
          <w:sz w:val="22"/>
          <w:szCs w:val="22"/>
        </w:rPr>
        <w:t xml:space="preserve">для </w:t>
      </w:r>
      <w:r>
        <w:rPr>
          <w:sz w:val="22"/>
          <w:szCs w:val="22"/>
          <w:lang w:val="en-US"/>
        </w:rPr>
        <w:t>Bloomberg</w:t>
      </w:r>
      <w:r w:rsidRPr="00167D25">
        <w:rPr>
          <w:sz w:val="22"/>
          <w:szCs w:val="22"/>
        </w:rPr>
        <w:t xml:space="preserve"> </w:t>
      </w:r>
      <w:r>
        <w:rPr>
          <w:sz w:val="22"/>
          <w:szCs w:val="22"/>
        </w:rPr>
        <w:t>используются следующие рынки:</w:t>
      </w:r>
    </w:p>
    <w:p w14:paraId="7087B1F4" w14:textId="77777777" w:rsidR="00C67076" w:rsidRDefault="00C67076" w:rsidP="00C67076">
      <w:pPr>
        <w:pStyle w:val="a3"/>
        <w:ind w:left="1724"/>
        <w:jc w:val="both"/>
        <w:rPr>
          <w:sz w:val="22"/>
          <w:szCs w:val="22"/>
        </w:rPr>
      </w:pPr>
    </w:p>
    <w:p w14:paraId="20C2D4DB"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Bloomberg Generic Price BGN</w:t>
      </w:r>
      <w:r>
        <w:rPr>
          <w:sz w:val="22"/>
          <w:szCs w:val="22"/>
        </w:rPr>
        <w:t>;</w:t>
      </w:r>
    </w:p>
    <w:p w14:paraId="6D6C88BB" w14:textId="77777777" w:rsidR="00C67076" w:rsidRPr="00504FAA" w:rsidRDefault="00C67076" w:rsidP="00C67076">
      <w:pPr>
        <w:pStyle w:val="a3"/>
        <w:numPr>
          <w:ilvl w:val="0"/>
          <w:numId w:val="13"/>
        </w:numPr>
        <w:jc w:val="both"/>
        <w:rPr>
          <w:sz w:val="22"/>
          <w:szCs w:val="22"/>
          <w:lang w:val="en-US"/>
        </w:rPr>
      </w:pPr>
      <w:r w:rsidRPr="00167D25">
        <w:rPr>
          <w:sz w:val="22"/>
          <w:szCs w:val="22"/>
          <w:lang w:val="en-US"/>
        </w:rPr>
        <w:t>Bloomberg Valuation BVAL</w:t>
      </w:r>
      <w:r>
        <w:rPr>
          <w:sz w:val="22"/>
          <w:szCs w:val="22"/>
        </w:rPr>
        <w:t>;</w:t>
      </w:r>
    </w:p>
    <w:p w14:paraId="77C67075" w14:textId="77777777" w:rsidR="00504FAA" w:rsidRPr="00504FAA" w:rsidRDefault="00504FAA" w:rsidP="00F204CC">
      <w:pPr>
        <w:pStyle w:val="a3"/>
        <w:numPr>
          <w:ilvl w:val="0"/>
          <w:numId w:val="13"/>
        </w:numPr>
        <w:jc w:val="both"/>
        <w:rPr>
          <w:sz w:val="22"/>
          <w:szCs w:val="22"/>
          <w:lang w:val="en-US"/>
        </w:rPr>
      </w:pPr>
      <w:r w:rsidRPr="00504FAA">
        <w:rPr>
          <w:sz w:val="22"/>
          <w:szCs w:val="22"/>
          <w:lang w:val="en-US"/>
        </w:rPr>
        <w:t xml:space="preserve">Bloomberg </w:t>
      </w:r>
      <w:r>
        <w:rPr>
          <w:sz w:val="22"/>
          <w:szCs w:val="22"/>
          <w:lang w:val="en-US"/>
        </w:rPr>
        <w:t>BMRK</w:t>
      </w:r>
      <w:r w:rsidRPr="00504FAA">
        <w:rPr>
          <w:sz w:val="22"/>
          <w:szCs w:val="22"/>
        </w:rPr>
        <w:t>;</w:t>
      </w:r>
    </w:p>
    <w:p w14:paraId="12D52288" w14:textId="77777777" w:rsidR="00504FAA" w:rsidRPr="00504FAA" w:rsidRDefault="00504FAA" w:rsidP="00F204CC">
      <w:pPr>
        <w:pStyle w:val="a3"/>
        <w:numPr>
          <w:ilvl w:val="0"/>
          <w:numId w:val="13"/>
        </w:numPr>
        <w:jc w:val="both"/>
        <w:rPr>
          <w:sz w:val="22"/>
          <w:szCs w:val="22"/>
          <w:lang w:val="en-US"/>
        </w:rPr>
      </w:pPr>
      <w:r w:rsidRPr="00504FAA">
        <w:rPr>
          <w:sz w:val="22"/>
          <w:szCs w:val="22"/>
          <w:lang w:val="en-US"/>
        </w:rPr>
        <w:t>Bloomberg</w:t>
      </w:r>
      <w:r>
        <w:rPr>
          <w:color w:val="1F497D"/>
          <w:lang w:val="en-US"/>
        </w:rPr>
        <w:t xml:space="preserve"> </w:t>
      </w:r>
      <w:r w:rsidRPr="00504FAA">
        <w:rPr>
          <w:sz w:val="22"/>
          <w:szCs w:val="22"/>
          <w:lang w:val="en-US"/>
        </w:rPr>
        <w:t>TRAC</w:t>
      </w:r>
      <w:r>
        <w:rPr>
          <w:sz w:val="22"/>
          <w:szCs w:val="22"/>
        </w:rPr>
        <w:t>;</w:t>
      </w:r>
    </w:p>
    <w:p w14:paraId="159A6FC9" w14:textId="77777777" w:rsidR="00504FAA" w:rsidRPr="00504FAA" w:rsidRDefault="00504FAA" w:rsidP="005366E0">
      <w:pPr>
        <w:pStyle w:val="a3"/>
        <w:numPr>
          <w:ilvl w:val="0"/>
          <w:numId w:val="13"/>
        </w:numPr>
        <w:jc w:val="both"/>
        <w:rPr>
          <w:sz w:val="22"/>
          <w:szCs w:val="22"/>
          <w:lang w:val="en-US"/>
        </w:rPr>
      </w:pPr>
      <w:r w:rsidRPr="00504FAA">
        <w:rPr>
          <w:sz w:val="22"/>
          <w:szCs w:val="22"/>
          <w:lang w:val="en-US"/>
        </w:rPr>
        <w:t>Bloomberg</w:t>
      </w:r>
      <w:r w:rsidRPr="00504FAA">
        <w:rPr>
          <w:color w:val="1F497D"/>
          <w:lang w:val="en-US"/>
        </w:rPr>
        <w:t xml:space="preserve"> </w:t>
      </w:r>
      <w:r>
        <w:rPr>
          <w:sz w:val="22"/>
          <w:szCs w:val="22"/>
          <w:lang w:val="en-US"/>
        </w:rPr>
        <w:t>CBBT</w:t>
      </w:r>
      <w:r w:rsidRPr="00504FAA">
        <w:rPr>
          <w:sz w:val="22"/>
          <w:szCs w:val="22"/>
        </w:rPr>
        <w:t>;</w:t>
      </w:r>
    </w:p>
    <w:p w14:paraId="60BF2438"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NYSE EURONEXT - EURONEXT PARIS</w:t>
      </w:r>
      <w:r>
        <w:rPr>
          <w:sz w:val="22"/>
          <w:szCs w:val="22"/>
        </w:rPr>
        <w:t>;</w:t>
      </w:r>
    </w:p>
    <w:p w14:paraId="1FDD6D02"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DEUTSCHE BOERSE AG</w:t>
      </w:r>
      <w:r>
        <w:rPr>
          <w:sz w:val="22"/>
          <w:szCs w:val="22"/>
        </w:rPr>
        <w:t>;</w:t>
      </w:r>
    </w:p>
    <w:p w14:paraId="0CABB873"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EUWAX</w:t>
      </w:r>
      <w:r>
        <w:rPr>
          <w:sz w:val="22"/>
          <w:szCs w:val="22"/>
        </w:rPr>
        <w:t>;</w:t>
      </w:r>
    </w:p>
    <w:p w14:paraId="32CFDBA2"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BOERSE STUTTGART</w:t>
      </w:r>
      <w:r>
        <w:rPr>
          <w:sz w:val="22"/>
          <w:szCs w:val="22"/>
        </w:rPr>
        <w:t>;</w:t>
      </w:r>
    </w:p>
    <w:p w14:paraId="6B29B71B"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HONG KONG EXCHANGES AND CLEARING LTD;</w:t>
      </w:r>
    </w:p>
    <w:p w14:paraId="3A627E2C"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ELECTRONIC SHARE MARKET</w:t>
      </w:r>
      <w:r>
        <w:rPr>
          <w:sz w:val="22"/>
          <w:szCs w:val="22"/>
        </w:rPr>
        <w:t>;</w:t>
      </w:r>
    </w:p>
    <w:p w14:paraId="6F8F1F18"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KOREA FREEBOARD MARKET</w:t>
      </w:r>
      <w:r>
        <w:rPr>
          <w:sz w:val="22"/>
          <w:szCs w:val="22"/>
        </w:rPr>
        <w:t>;</w:t>
      </w:r>
    </w:p>
    <w:p w14:paraId="60A8D600"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LONDON STOCK EXCHANGE</w:t>
      </w:r>
      <w:r>
        <w:rPr>
          <w:sz w:val="22"/>
          <w:szCs w:val="22"/>
        </w:rPr>
        <w:t>;</w:t>
      </w:r>
    </w:p>
    <w:p w14:paraId="4826A89F"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BOLSA MEXICANA DE VALORES (MEXICAN STOCK EXCHANGE);</w:t>
      </w:r>
    </w:p>
    <w:p w14:paraId="0E1FC7D0"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NYSE EURONEXT - EURONEXT AMSTERDAM</w:t>
      </w:r>
      <w:r>
        <w:rPr>
          <w:sz w:val="22"/>
          <w:szCs w:val="22"/>
        </w:rPr>
        <w:t>;</w:t>
      </w:r>
    </w:p>
    <w:p w14:paraId="74412730"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MOSCOW EXCHANGE - ALL MARKETS</w:t>
      </w:r>
    </w:p>
    <w:p w14:paraId="02895839"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JSE SECURITIES EXCHANGE</w:t>
      </w:r>
      <w:r>
        <w:rPr>
          <w:sz w:val="22"/>
          <w:szCs w:val="22"/>
        </w:rPr>
        <w:t>4</w:t>
      </w:r>
    </w:p>
    <w:p w14:paraId="6A0A38E1"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BX SWISS AG</w:t>
      </w:r>
      <w:r>
        <w:rPr>
          <w:sz w:val="22"/>
          <w:szCs w:val="22"/>
        </w:rPr>
        <w:t>;</w:t>
      </w:r>
    </w:p>
    <w:p w14:paraId="2534F618"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BORSA ISTANBUL</w:t>
      </w:r>
      <w:r>
        <w:rPr>
          <w:sz w:val="22"/>
          <w:szCs w:val="22"/>
        </w:rPr>
        <w:t>;</w:t>
      </w:r>
    </w:p>
    <w:p w14:paraId="7BD1C5D7"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NEW YORK STOCK EXCHANGE INC;</w:t>
      </w:r>
    </w:p>
    <w:p w14:paraId="399FC21E"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NYSE ARCA</w:t>
      </w:r>
      <w:r>
        <w:rPr>
          <w:sz w:val="22"/>
          <w:szCs w:val="22"/>
        </w:rPr>
        <w:t>;</w:t>
      </w:r>
    </w:p>
    <w:p w14:paraId="40E6B9DD"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NASDAQ/NMS (GLOBAL MARKET)</w:t>
      </w:r>
      <w:r>
        <w:rPr>
          <w:sz w:val="22"/>
          <w:szCs w:val="22"/>
        </w:rPr>
        <w:t>;</w:t>
      </w:r>
    </w:p>
    <w:p w14:paraId="6E751944" w14:textId="77777777" w:rsidR="00C67076" w:rsidRPr="00167D25" w:rsidRDefault="00C67076" w:rsidP="00C67076">
      <w:pPr>
        <w:pStyle w:val="a3"/>
        <w:numPr>
          <w:ilvl w:val="0"/>
          <w:numId w:val="13"/>
        </w:numPr>
        <w:jc w:val="both"/>
        <w:rPr>
          <w:sz w:val="22"/>
          <w:szCs w:val="22"/>
          <w:lang w:val="en-US"/>
        </w:rPr>
      </w:pPr>
      <w:r w:rsidRPr="00167D25">
        <w:rPr>
          <w:sz w:val="22"/>
          <w:szCs w:val="22"/>
          <w:lang w:val="en-US"/>
        </w:rPr>
        <w:t>NASDAQ/NGS (GLOBAL SELECT MARKET).</w:t>
      </w:r>
    </w:p>
    <w:p w14:paraId="1D573892" w14:textId="77777777" w:rsidR="00C67076" w:rsidRPr="00C67076" w:rsidRDefault="00C67076" w:rsidP="00C67076">
      <w:pPr>
        <w:pStyle w:val="a3"/>
        <w:ind w:left="1724"/>
        <w:jc w:val="both"/>
        <w:rPr>
          <w:sz w:val="22"/>
          <w:szCs w:val="22"/>
          <w:lang w:val="en-US"/>
        </w:rPr>
      </w:pPr>
    </w:p>
    <w:p w14:paraId="3621FE0D" w14:textId="77777777" w:rsidR="00C67076" w:rsidRPr="00C67076" w:rsidRDefault="00C67076" w:rsidP="00167D25">
      <w:pPr>
        <w:pStyle w:val="a3"/>
        <w:numPr>
          <w:ilvl w:val="0"/>
          <w:numId w:val="11"/>
        </w:numPr>
        <w:jc w:val="both"/>
        <w:rPr>
          <w:sz w:val="22"/>
          <w:szCs w:val="22"/>
        </w:rPr>
      </w:pPr>
      <w:r>
        <w:rPr>
          <w:sz w:val="22"/>
          <w:szCs w:val="22"/>
        </w:rPr>
        <w:t xml:space="preserve">для </w:t>
      </w:r>
      <w:r>
        <w:rPr>
          <w:sz w:val="22"/>
          <w:szCs w:val="22"/>
          <w:lang w:val="en-US"/>
        </w:rPr>
        <w:t>CBONDS</w:t>
      </w:r>
      <w:r w:rsidR="003862F5">
        <w:rPr>
          <w:sz w:val="22"/>
          <w:szCs w:val="22"/>
        </w:rPr>
        <w:t xml:space="preserve"> все доступные площадки </w:t>
      </w:r>
      <w:r w:rsidR="00886873">
        <w:rPr>
          <w:sz w:val="22"/>
          <w:szCs w:val="22"/>
        </w:rPr>
        <w:t xml:space="preserve">из </w:t>
      </w:r>
      <w:r w:rsidR="003862F5">
        <w:rPr>
          <w:sz w:val="22"/>
          <w:szCs w:val="22"/>
          <w:lang w:val="en-US"/>
        </w:rPr>
        <w:t>API</w:t>
      </w:r>
      <w:r w:rsidR="003862F5" w:rsidRPr="003862F5">
        <w:rPr>
          <w:sz w:val="22"/>
          <w:szCs w:val="22"/>
        </w:rPr>
        <w:t xml:space="preserve"> </w:t>
      </w:r>
      <w:r w:rsidR="003862F5">
        <w:rPr>
          <w:sz w:val="22"/>
          <w:szCs w:val="22"/>
        </w:rPr>
        <w:t>сервиса</w:t>
      </w:r>
      <w:r w:rsidR="003862F5" w:rsidRPr="003862F5">
        <w:rPr>
          <w:sz w:val="22"/>
          <w:szCs w:val="22"/>
        </w:rPr>
        <w:t>;</w:t>
      </w:r>
    </w:p>
    <w:p w14:paraId="511BF75D" w14:textId="77777777" w:rsidR="00C67076" w:rsidRPr="00C67076" w:rsidRDefault="00C67076" w:rsidP="00C67076">
      <w:pPr>
        <w:pStyle w:val="a3"/>
        <w:numPr>
          <w:ilvl w:val="0"/>
          <w:numId w:val="11"/>
        </w:numPr>
        <w:jc w:val="both"/>
        <w:rPr>
          <w:sz w:val="22"/>
          <w:szCs w:val="22"/>
        </w:rPr>
      </w:pPr>
      <w:r w:rsidRPr="00C67076">
        <w:rPr>
          <w:sz w:val="22"/>
          <w:szCs w:val="22"/>
        </w:rPr>
        <w:t xml:space="preserve">для </w:t>
      </w:r>
      <w:r w:rsidRPr="003862F5">
        <w:rPr>
          <w:sz w:val="22"/>
          <w:szCs w:val="22"/>
        </w:rPr>
        <w:t xml:space="preserve"> </w:t>
      </w:r>
      <w:r>
        <w:rPr>
          <w:sz w:val="22"/>
          <w:szCs w:val="22"/>
          <w:lang w:val="en-US"/>
        </w:rPr>
        <w:t>RU</w:t>
      </w:r>
      <w:r w:rsidRPr="003862F5">
        <w:rPr>
          <w:sz w:val="22"/>
          <w:szCs w:val="22"/>
        </w:rPr>
        <w:t xml:space="preserve"> </w:t>
      </w:r>
      <w:r>
        <w:rPr>
          <w:sz w:val="22"/>
          <w:szCs w:val="22"/>
          <w:lang w:val="en-US"/>
        </w:rPr>
        <w:t>DATA</w:t>
      </w:r>
      <w:r w:rsidR="003862F5" w:rsidRPr="003862F5">
        <w:rPr>
          <w:sz w:val="22"/>
          <w:szCs w:val="22"/>
        </w:rPr>
        <w:t xml:space="preserve"> </w:t>
      </w:r>
      <w:r w:rsidR="003862F5">
        <w:rPr>
          <w:sz w:val="22"/>
          <w:szCs w:val="22"/>
        </w:rPr>
        <w:t xml:space="preserve">все доступные площадки </w:t>
      </w:r>
      <w:r w:rsidR="00886873">
        <w:rPr>
          <w:sz w:val="22"/>
          <w:szCs w:val="22"/>
        </w:rPr>
        <w:t xml:space="preserve"> из </w:t>
      </w:r>
      <w:r w:rsidR="003862F5">
        <w:rPr>
          <w:sz w:val="22"/>
          <w:szCs w:val="22"/>
          <w:lang w:val="en-US"/>
        </w:rPr>
        <w:t>API</w:t>
      </w:r>
      <w:r w:rsidR="003862F5">
        <w:rPr>
          <w:sz w:val="22"/>
          <w:szCs w:val="22"/>
        </w:rPr>
        <w:t xml:space="preserve"> сервиса;</w:t>
      </w:r>
    </w:p>
    <w:p w14:paraId="38ED7EEE" w14:textId="77777777" w:rsidR="00C67076" w:rsidRDefault="003862F5" w:rsidP="00167D25">
      <w:pPr>
        <w:pStyle w:val="a3"/>
        <w:numPr>
          <w:ilvl w:val="0"/>
          <w:numId w:val="11"/>
        </w:numPr>
        <w:jc w:val="both"/>
        <w:rPr>
          <w:sz w:val="22"/>
          <w:szCs w:val="22"/>
        </w:rPr>
      </w:pPr>
      <w:r>
        <w:rPr>
          <w:sz w:val="22"/>
          <w:szCs w:val="22"/>
        </w:rPr>
        <w:t>открытые источники</w:t>
      </w:r>
      <w:r w:rsidR="00504FAA">
        <w:rPr>
          <w:sz w:val="22"/>
          <w:szCs w:val="22"/>
        </w:rPr>
        <w:t xml:space="preserve"> </w:t>
      </w:r>
      <w:r>
        <w:rPr>
          <w:sz w:val="22"/>
          <w:szCs w:val="22"/>
        </w:rPr>
        <w:t xml:space="preserve">- официальные сайты </w:t>
      </w:r>
      <w:r w:rsidR="0016536F">
        <w:rPr>
          <w:sz w:val="22"/>
          <w:szCs w:val="22"/>
        </w:rPr>
        <w:t>у</w:t>
      </w:r>
      <w:r>
        <w:rPr>
          <w:sz w:val="22"/>
          <w:szCs w:val="22"/>
        </w:rPr>
        <w:t xml:space="preserve">правляющих компаний </w:t>
      </w:r>
      <w:r w:rsidR="0016536F">
        <w:rPr>
          <w:sz w:val="22"/>
          <w:szCs w:val="22"/>
        </w:rPr>
        <w:t>паевыми инвестиционными фондами</w:t>
      </w:r>
      <w:r>
        <w:rPr>
          <w:sz w:val="22"/>
          <w:szCs w:val="22"/>
        </w:rPr>
        <w:t>.</w:t>
      </w:r>
    </w:p>
    <w:p w14:paraId="0A2B49A1" w14:textId="77777777" w:rsidR="00167D25" w:rsidRDefault="00167D25" w:rsidP="00167D25">
      <w:pPr>
        <w:pStyle w:val="a3"/>
        <w:ind w:left="1724"/>
        <w:jc w:val="both"/>
        <w:rPr>
          <w:sz w:val="22"/>
          <w:szCs w:val="22"/>
        </w:rPr>
      </w:pPr>
    </w:p>
    <w:p w14:paraId="39B45ECF" w14:textId="77777777" w:rsidR="005F1062" w:rsidRPr="003862F5" w:rsidRDefault="005F1062" w:rsidP="005F19B5">
      <w:pPr>
        <w:jc w:val="both"/>
        <w:rPr>
          <w:sz w:val="22"/>
          <w:szCs w:val="22"/>
        </w:rPr>
      </w:pPr>
    </w:p>
    <w:p w14:paraId="57A60350" w14:textId="2FC4E8C7" w:rsidR="005F19B5" w:rsidRDefault="00B25895" w:rsidP="005F19B5">
      <w:pPr>
        <w:jc w:val="both"/>
        <w:rPr>
          <w:sz w:val="22"/>
          <w:szCs w:val="22"/>
        </w:rPr>
      </w:pPr>
      <w:r w:rsidRPr="003862F5">
        <w:rPr>
          <w:sz w:val="22"/>
          <w:szCs w:val="22"/>
        </w:rPr>
        <w:t xml:space="preserve">     </w:t>
      </w:r>
      <w:r w:rsidR="005F19B5">
        <w:rPr>
          <w:sz w:val="22"/>
          <w:szCs w:val="22"/>
        </w:rPr>
        <w:t>Управляющий</w:t>
      </w:r>
      <w:r>
        <w:rPr>
          <w:sz w:val="22"/>
          <w:szCs w:val="22"/>
        </w:rPr>
        <w:t xml:space="preserve"> при </w:t>
      </w:r>
      <w:r w:rsidR="009604CF">
        <w:rPr>
          <w:sz w:val="22"/>
          <w:szCs w:val="22"/>
        </w:rPr>
        <w:t xml:space="preserve">установлении </w:t>
      </w:r>
      <w:r>
        <w:rPr>
          <w:sz w:val="22"/>
          <w:szCs w:val="22"/>
        </w:rPr>
        <w:t>источника цены для определения оценочной стоимости ценных бумаг</w:t>
      </w:r>
      <w:r w:rsidR="005F19B5">
        <w:rPr>
          <w:sz w:val="22"/>
          <w:szCs w:val="22"/>
        </w:rPr>
        <w:t xml:space="preserve"> </w:t>
      </w:r>
      <w:r>
        <w:rPr>
          <w:sz w:val="22"/>
          <w:szCs w:val="22"/>
        </w:rPr>
        <w:t>дополнительно руководствуется принципом выбора активного рынка для конкретной бумаги по каждому источнику данных в порядке приоритета:</w:t>
      </w:r>
    </w:p>
    <w:p w14:paraId="16DA0548" w14:textId="77777777" w:rsidR="00C111C7" w:rsidRDefault="00C111C7" w:rsidP="005F19B5">
      <w:pPr>
        <w:jc w:val="both"/>
        <w:rPr>
          <w:sz w:val="22"/>
          <w:szCs w:val="22"/>
        </w:rPr>
      </w:pPr>
    </w:p>
    <w:p w14:paraId="4509603D" w14:textId="77777777" w:rsidR="00B25895" w:rsidRDefault="00B25895" w:rsidP="00502D64">
      <w:pPr>
        <w:tabs>
          <w:tab w:val="left" w:pos="0"/>
        </w:tabs>
        <w:jc w:val="both"/>
        <w:rPr>
          <w:sz w:val="22"/>
          <w:szCs w:val="22"/>
        </w:rPr>
      </w:pPr>
    </w:p>
    <w:p w14:paraId="13BDF023" w14:textId="77777777" w:rsidR="00C111C7" w:rsidRDefault="00C111C7" w:rsidP="00954F07">
      <w:pPr>
        <w:pStyle w:val="a3"/>
        <w:numPr>
          <w:ilvl w:val="0"/>
          <w:numId w:val="8"/>
        </w:numPr>
        <w:tabs>
          <w:tab w:val="left" w:pos="0"/>
        </w:tabs>
        <w:ind w:left="709" w:hanging="709"/>
        <w:jc w:val="both"/>
        <w:rPr>
          <w:sz w:val="22"/>
          <w:szCs w:val="22"/>
        </w:rPr>
      </w:pPr>
      <w:r w:rsidRPr="00C111C7">
        <w:rPr>
          <w:sz w:val="22"/>
          <w:szCs w:val="22"/>
        </w:rPr>
        <w:t>определение категории странового риска эмитента и страны источника рыночных данных</w:t>
      </w:r>
      <w:r w:rsidR="0066368F" w:rsidRPr="0066368F">
        <w:rPr>
          <w:sz w:val="22"/>
          <w:szCs w:val="22"/>
        </w:rPr>
        <w:t xml:space="preserve"> </w:t>
      </w:r>
      <w:r w:rsidR="0066368F">
        <w:rPr>
          <w:sz w:val="22"/>
          <w:szCs w:val="22"/>
        </w:rPr>
        <w:t>для выбора источника данных по эмитенту</w:t>
      </w:r>
      <w:r w:rsidR="00B25895" w:rsidRPr="00C111C7">
        <w:rPr>
          <w:sz w:val="22"/>
          <w:szCs w:val="22"/>
        </w:rPr>
        <w:t>;</w:t>
      </w:r>
    </w:p>
    <w:p w14:paraId="78B2185F" w14:textId="77777777" w:rsidR="0066368F" w:rsidRDefault="0066368F" w:rsidP="0066368F">
      <w:pPr>
        <w:pStyle w:val="a3"/>
        <w:tabs>
          <w:tab w:val="left" w:pos="0"/>
        </w:tabs>
        <w:ind w:left="709"/>
        <w:jc w:val="both"/>
        <w:rPr>
          <w:sz w:val="22"/>
          <w:szCs w:val="22"/>
        </w:rPr>
      </w:pPr>
    </w:p>
    <w:p w14:paraId="635DF46A" w14:textId="77777777" w:rsidR="0066368F" w:rsidRDefault="0066368F" w:rsidP="00954F07">
      <w:pPr>
        <w:pStyle w:val="a3"/>
        <w:numPr>
          <w:ilvl w:val="0"/>
          <w:numId w:val="8"/>
        </w:numPr>
        <w:tabs>
          <w:tab w:val="left" w:pos="0"/>
        </w:tabs>
        <w:ind w:left="709" w:hanging="709"/>
        <w:jc w:val="both"/>
        <w:rPr>
          <w:sz w:val="22"/>
          <w:szCs w:val="22"/>
        </w:rPr>
      </w:pPr>
      <w:r>
        <w:rPr>
          <w:sz w:val="22"/>
          <w:szCs w:val="22"/>
        </w:rPr>
        <w:t>определение типа рынка: биржевой или внебиржевой рынок</w:t>
      </w:r>
      <w:r w:rsidR="00FE7BAA">
        <w:rPr>
          <w:sz w:val="22"/>
          <w:szCs w:val="22"/>
        </w:rPr>
        <w:t xml:space="preserve"> (для эмитентов с категорией риска </w:t>
      </w:r>
      <w:r w:rsidR="00FE7BAA">
        <w:rPr>
          <w:sz w:val="22"/>
          <w:szCs w:val="22"/>
          <w:lang w:val="en-US"/>
        </w:rPr>
        <w:t>RU</w:t>
      </w:r>
      <w:r w:rsidR="00FE7BAA" w:rsidRPr="00FE7BAA">
        <w:rPr>
          <w:sz w:val="22"/>
          <w:szCs w:val="22"/>
        </w:rPr>
        <w:t>)</w:t>
      </w:r>
      <w:r>
        <w:rPr>
          <w:sz w:val="22"/>
          <w:szCs w:val="22"/>
        </w:rPr>
        <w:t>;</w:t>
      </w:r>
    </w:p>
    <w:p w14:paraId="267662BF" w14:textId="77777777" w:rsidR="00C111C7" w:rsidRDefault="00C111C7" w:rsidP="00C111C7">
      <w:pPr>
        <w:pStyle w:val="a3"/>
        <w:tabs>
          <w:tab w:val="left" w:pos="0"/>
        </w:tabs>
        <w:ind w:left="709"/>
        <w:jc w:val="both"/>
        <w:rPr>
          <w:sz w:val="22"/>
          <w:szCs w:val="22"/>
        </w:rPr>
      </w:pPr>
    </w:p>
    <w:p w14:paraId="26B703DE" w14:textId="77777777" w:rsidR="00C111C7" w:rsidRDefault="00C111C7" w:rsidP="00954F07">
      <w:pPr>
        <w:pStyle w:val="a3"/>
        <w:numPr>
          <w:ilvl w:val="0"/>
          <w:numId w:val="8"/>
        </w:numPr>
        <w:tabs>
          <w:tab w:val="left" w:pos="0"/>
        </w:tabs>
        <w:ind w:left="709" w:hanging="709"/>
        <w:jc w:val="both"/>
        <w:rPr>
          <w:sz w:val="22"/>
          <w:szCs w:val="22"/>
        </w:rPr>
      </w:pPr>
      <w:r w:rsidRPr="00C111C7">
        <w:rPr>
          <w:sz w:val="22"/>
          <w:szCs w:val="22"/>
        </w:rPr>
        <w:t>информация по ценам с композитных площадок;</w:t>
      </w:r>
    </w:p>
    <w:p w14:paraId="561C2441" w14:textId="77777777" w:rsidR="0066368F" w:rsidRPr="0066368F" w:rsidRDefault="0066368F" w:rsidP="0066368F">
      <w:pPr>
        <w:pStyle w:val="a3"/>
        <w:rPr>
          <w:sz w:val="22"/>
          <w:szCs w:val="22"/>
        </w:rPr>
      </w:pPr>
    </w:p>
    <w:p w14:paraId="10A7ABD5" w14:textId="77777777" w:rsidR="0066368F" w:rsidRPr="00C111C7" w:rsidRDefault="0066368F" w:rsidP="00954F07">
      <w:pPr>
        <w:pStyle w:val="a3"/>
        <w:numPr>
          <w:ilvl w:val="0"/>
          <w:numId w:val="8"/>
        </w:numPr>
        <w:tabs>
          <w:tab w:val="left" w:pos="0"/>
        </w:tabs>
        <w:ind w:left="709" w:hanging="709"/>
        <w:jc w:val="both"/>
        <w:rPr>
          <w:sz w:val="22"/>
          <w:szCs w:val="22"/>
        </w:rPr>
      </w:pPr>
      <w:r>
        <w:rPr>
          <w:sz w:val="22"/>
          <w:szCs w:val="22"/>
        </w:rPr>
        <w:t>информация по ценам от непубличных источников данных;</w:t>
      </w:r>
    </w:p>
    <w:p w14:paraId="0B77B22B" w14:textId="77777777" w:rsidR="00C111C7" w:rsidRPr="00C111C7" w:rsidRDefault="00C111C7" w:rsidP="00C111C7">
      <w:pPr>
        <w:tabs>
          <w:tab w:val="left" w:pos="0"/>
        </w:tabs>
        <w:jc w:val="both"/>
        <w:rPr>
          <w:sz w:val="22"/>
          <w:szCs w:val="22"/>
        </w:rPr>
      </w:pPr>
    </w:p>
    <w:p w14:paraId="09FAE069" w14:textId="77777777" w:rsidR="00C111C7" w:rsidRPr="00C111C7" w:rsidRDefault="00B25895" w:rsidP="00385565">
      <w:pPr>
        <w:pStyle w:val="a3"/>
        <w:numPr>
          <w:ilvl w:val="0"/>
          <w:numId w:val="8"/>
        </w:numPr>
        <w:tabs>
          <w:tab w:val="left" w:pos="0"/>
        </w:tabs>
        <w:ind w:left="0" w:firstLine="0"/>
        <w:jc w:val="both"/>
        <w:rPr>
          <w:sz w:val="22"/>
          <w:szCs w:val="22"/>
        </w:rPr>
      </w:pPr>
      <w:r w:rsidRPr="00C111C7">
        <w:rPr>
          <w:sz w:val="22"/>
          <w:szCs w:val="22"/>
        </w:rPr>
        <w:t>и</w:t>
      </w:r>
      <w:r w:rsidR="00DF75C3">
        <w:rPr>
          <w:sz w:val="22"/>
          <w:szCs w:val="22"/>
        </w:rPr>
        <w:t>нформация по количественным и стоимостным характеристикам цен;</w:t>
      </w:r>
    </w:p>
    <w:p w14:paraId="787FC5E0" w14:textId="77777777" w:rsidR="00C111C7" w:rsidRDefault="00C111C7" w:rsidP="00C111C7">
      <w:pPr>
        <w:pStyle w:val="a3"/>
        <w:tabs>
          <w:tab w:val="left" w:pos="0"/>
        </w:tabs>
        <w:ind w:left="0"/>
        <w:jc w:val="both"/>
        <w:rPr>
          <w:sz w:val="22"/>
          <w:szCs w:val="22"/>
        </w:rPr>
      </w:pPr>
    </w:p>
    <w:p w14:paraId="58D7293F" w14:textId="77777777" w:rsidR="00B25895" w:rsidRPr="00502D64" w:rsidRDefault="00173891" w:rsidP="00502D64">
      <w:pPr>
        <w:pStyle w:val="a3"/>
        <w:numPr>
          <w:ilvl w:val="0"/>
          <w:numId w:val="8"/>
        </w:numPr>
        <w:tabs>
          <w:tab w:val="left" w:pos="0"/>
        </w:tabs>
        <w:ind w:left="0" w:firstLine="0"/>
        <w:jc w:val="both"/>
        <w:rPr>
          <w:sz w:val="22"/>
          <w:szCs w:val="22"/>
        </w:rPr>
      </w:pPr>
      <w:r w:rsidRPr="00502D64">
        <w:rPr>
          <w:sz w:val="22"/>
          <w:szCs w:val="22"/>
        </w:rPr>
        <w:lastRenderedPageBreak/>
        <w:t xml:space="preserve">в случае, если цены не было свыше пяти торговых дней - </w:t>
      </w:r>
      <w:r w:rsidR="00B25895" w:rsidRPr="00502D64">
        <w:rPr>
          <w:sz w:val="22"/>
          <w:szCs w:val="22"/>
        </w:rPr>
        <w:t xml:space="preserve">последняя известная цена на </w:t>
      </w:r>
      <w:r w:rsidRPr="00502D64">
        <w:rPr>
          <w:sz w:val="22"/>
          <w:szCs w:val="22"/>
        </w:rPr>
        <w:t xml:space="preserve">доступных Управляющему </w:t>
      </w:r>
      <w:r w:rsidR="00B25895" w:rsidRPr="00502D64">
        <w:rPr>
          <w:sz w:val="22"/>
          <w:szCs w:val="22"/>
        </w:rPr>
        <w:t>площадках</w:t>
      </w:r>
      <w:r w:rsidR="00C111C7">
        <w:rPr>
          <w:sz w:val="22"/>
          <w:szCs w:val="22"/>
        </w:rPr>
        <w:t xml:space="preserve"> без ограничения срока действия цены</w:t>
      </w:r>
      <w:r w:rsidRPr="00502D64">
        <w:rPr>
          <w:sz w:val="22"/>
          <w:szCs w:val="22"/>
        </w:rPr>
        <w:t>.</w:t>
      </w:r>
    </w:p>
    <w:p w14:paraId="51562DED" w14:textId="77777777" w:rsidR="00522A07" w:rsidRDefault="00522A07" w:rsidP="00522A07">
      <w:pPr>
        <w:jc w:val="both"/>
        <w:rPr>
          <w:sz w:val="22"/>
          <w:szCs w:val="22"/>
        </w:rPr>
      </w:pPr>
    </w:p>
    <w:p w14:paraId="722CC758" w14:textId="77777777" w:rsidR="00C111C7" w:rsidRDefault="004554A8" w:rsidP="00522A07">
      <w:pPr>
        <w:jc w:val="both"/>
        <w:rPr>
          <w:i/>
          <w:sz w:val="22"/>
          <w:szCs w:val="22"/>
        </w:rPr>
      </w:pPr>
      <w:r>
        <w:rPr>
          <w:i/>
          <w:sz w:val="22"/>
          <w:szCs w:val="22"/>
        </w:rPr>
        <w:t>Категория</w:t>
      </w:r>
      <w:r w:rsidRPr="004554A8">
        <w:rPr>
          <w:i/>
          <w:sz w:val="22"/>
          <w:szCs w:val="22"/>
        </w:rPr>
        <w:t xml:space="preserve"> странового риска</w:t>
      </w:r>
    </w:p>
    <w:p w14:paraId="3AE86A8A" w14:textId="77777777" w:rsidR="004554A8" w:rsidRDefault="004554A8" w:rsidP="00522A07">
      <w:pPr>
        <w:jc w:val="both"/>
        <w:rPr>
          <w:sz w:val="22"/>
          <w:szCs w:val="22"/>
        </w:rPr>
      </w:pPr>
      <w:r>
        <w:rPr>
          <w:i/>
          <w:sz w:val="22"/>
          <w:szCs w:val="22"/>
        </w:rPr>
        <w:t xml:space="preserve">  </w:t>
      </w:r>
    </w:p>
    <w:p w14:paraId="014BF572" w14:textId="77777777" w:rsidR="004554A8" w:rsidRDefault="004554A8" w:rsidP="00522A07">
      <w:pPr>
        <w:jc w:val="both"/>
        <w:rPr>
          <w:sz w:val="22"/>
          <w:szCs w:val="22"/>
        </w:rPr>
      </w:pPr>
      <w:r>
        <w:rPr>
          <w:sz w:val="22"/>
          <w:szCs w:val="22"/>
        </w:rPr>
        <w:t xml:space="preserve">        При определении категории странового риска Управляющий оперирует данными об эмитенте из публичных источников </w:t>
      </w:r>
      <w:r>
        <w:rPr>
          <w:sz w:val="22"/>
          <w:szCs w:val="22"/>
          <w:lang w:val="en-US"/>
        </w:rPr>
        <w:t>RISK</w:t>
      </w:r>
      <w:r w:rsidRPr="004554A8">
        <w:rPr>
          <w:sz w:val="22"/>
          <w:szCs w:val="22"/>
        </w:rPr>
        <w:t>_</w:t>
      </w:r>
      <w:r>
        <w:rPr>
          <w:sz w:val="22"/>
          <w:szCs w:val="22"/>
          <w:lang w:val="en-US"/>
        </w:rPr>
        <w:t>COUNTRY</w:t>
      </w:r>
      <w:r>
        <w:rPr>
          <w:sz w:val="22"/>
          <w:szCs w:val="22"/>
        </w:rPr>
        <w:t>, а</w:t>
      </w:r>
      <w:r w:rsidR="0066368F">
        <w:rPr>
          <w:sz w:val="22"/>
          <w:szCs w:val="22"/>
        </w:rPr>
        <w:t xml:space="preserve"> </w:t>
      </w:r>
      <w:r>
        <w:rPr>
          <w:sz w:val="22"/>
          <w:szCs w:val="22"/>
        </w:rPr>
        <w:t>в случае отсутствия такой информации используется страна регистрации эмитента.</w:t>
      </w:r>
    </w:p>
    <w:p w14:paraId="5A13CA90" w14:textId="77777777" w:rsidR="004554A8" w:rsidRDefault="004554A8" w:rsidP="00522A07">
      <w:pPr>
        <w:jc w:val="both"/>
        <w:rPr>
          <w:sz w:val="22"/>
          <w:szCs w:val="22"/>
        </w:rPr>
      </w:pPr>
    </w:p>
    <w:p w14:paraId="444EE056" w14:textId="77777777" w:rsidR="004554A8" w:rsidRPr="004554A8" w:rsidRDefault="004554A8" w:rsidP="00522A07">
      <w:pPr>
        <w:jc w:val="both"/>
        <w:rPr>
          <w:i/>
          <w:sz w:val="22"/>
          <w:szCs w:val="22"/>
        </w:rPr>
      </w:pPr>
      <w:r w:rsidRPr="004554A8">
        <w:rPr>
          <w:i/>
          <w:sz w:val="22"/>
          <w:szCs w:val="22"/>
        </w:rPr>
        <w:t xml:space="preserve">Категории источников данных        </w:t>
      </w:r>
    </w:p>
    <w:p w14:paraId="2101295F" w14:textId="77777777" w:rsidR="004554A8" w:rsidRDefault="004554A8" w:rsidP="00522A07">
      <w:pPr>
        <w:jc w:val="both"/>
        <w:rPr>
          <w:sz w:val="22"/>
          <w:szCs w:val="22"/>
        </w:rPr>
      </w:pPr>
      <w:r>
        <w:rPr>
          <w:i/>
          <w:sz w:val="22"/>
          <w:szCs w:val="22"/>
        </w:rPr>
        <w:t xml:space="preserve">    </w:t>
      </w:r>
      <w:r>
        <w:rPr>
          <w:sz w:val="22"/>
          <w:szCs w:val="22"/>
        </w:rPr>
        <w:t xml:space="preserve">     </w:t>
      </w:r>
    </w:p>
    <w:p w14:paraId="449CEB17" w14:textId="77777777" w:rsidR="0066368F" w:rsidRDefault="004554A8" w:rsidP="00522A07">
      <w:pPr>
        <w:jc w:val="both"/>
        <w:rPr>
          <w:sz w:val="22"/>
          <w:szCs w:val="22"/>
        </w:rPr>
      </w:pPr>
      <w:r>
        <w:rPr>
          <w:sz w:val="22"/>
          <w:szCs w:val="22"/>
        </w:rPr>
        <w:t xml:space="preserve">       Данные, поступающие от источников-организаторов торговли, внебиржевой отчетности, управляющий компаний паевыми и акционерными инвестиционными фондами, ведущими свою деятельность в соответствии с законодательством РФ, признаются Управляющим источниками </w:t>
      </w:r>
      <w:r w:rsidR="00FE7BAA">
        <w:rPr>
          <w:sz w:val="22"/>
          <w:szCs w:val="22"/>
        </w:rPr>
        <w:t xml:space="preserve">в </w:t>
      </w:r>
      <w:r>
        <w:rPr>
          <w:sz w:val="22"/>
          <w:szCs w:val="22"/>
        </w:rPr>
        <w:t xml:space="preserve">РФ </w:t>
      </w:r>
      <w:r w:rsidRPr="004554A8">
        <w:rPr>
          <w:sz w:val="22"/>
          <w:szCs w:val="22"/>
        </w:rPr>
        <w:t>(</w:t>
      </w:r>
      <w:r>
        <w:rPr>
          <w:sz w:val="22"/>
          <w:szCs w:val="22"/>
          <w:lang w:val="en-US"/>
        </w:rPr>
        <w:t>RU</w:t>
      </w:r>
      <w:r w:rsidRPr="004554A8">
        <w:rPr>
          <w:sz w:val="22"/>
          <w:szCs w:val="22"/>
        </w:rPr>
        <w:t xml:space="preserve">). </w:t>
      </w:r>
      <w:r>
        <w:rPr>
          <w:sz w:val="22"/>
          <w:szCs w:val="22"/>
        </w:rPr>
        <w:t>Во всех остальных случаях – глобальными рынками (</w:t>
      </w:r>
      <w:r>
        <w:rPr>
          <w:sz w:val="22"/>
          <w:szCs w:val="22"/>
          <w:lang w:val="en-US"/>
        </w:rPr>
        <w:t>GLOB</w:t>
      </w:r>
      <w:r w:rsidRPr="00FE7BAA">
        <w:rPr>
          <w:sz w:val="22"/>
          <w:szCs w:val="22"/>
        </w:rPr>
        <w:t>).</w:t>
      </w:r>
    </w:p>
    <w:p w14:paraId="52F3B96E" w14:textId="77777777" w:rsidR="00FE7BAA" w:rsidRDefault="00FE7BAA" w:rsidP="00522A07">
      <w:pPr>
        <w:jc w:val="both"/>
        <w:rPr>
          <w:sz w:val="22"/>
          <w:szCs w:val="22"/>
        </w:rPr>
      </w:pPr>
    </w:p>
    <w:p w14:paraId="6B1D9643" w14:textId="77777777" w:rsidR="00FE7BAA" w:rsidRPr="00FE7BAA" w:rsidRDefault="00FE7BAA" w:rsidP="00522A07">
      <w:pPr>
        <w:jc w:val="both"/>
        <w:rPr>
          <w:i/>
          <w:sz w:val="22"/>
          <w:szCs w:val="22"/>
        </w:rPr>
      </w:pPr>
      <w:r w:rsidRPr="00FE7BAA">
        <w:rPr>
          <w:i/>
          <w:sz w:val="22"/>
          <w:szCs w:val="22"/>
        </w:rPr>
        <w:t>Тип рынка</w:t>
      </w:r>
    </w:p>
    <w:p w14:paraId="691A785B" w14:textId="77777777" w:rsidR="0066368F" w:rsidRPr="00FE7BAA" w:rsidRDefault="0066368F" w:rsidP="00522A07">
      <w:pPr>
        <w:jc w:val="both"/>
        <w:rPr>
          <w:sz w:val="22"/>
          <w:szCs w:val="22"/>
        </w:rPr>
      </w:pPr>
    </w:p>
    <w:p w14:paraId="37882A2E" w14:textId="77777777" w:rsidR="00FE7BAA" w:rsidRDefault="004554A8" w:rsidP="00FE7BAA">
      <w:pPr>
        <w:jc w:val="both"/>
        <w:rPr>
          <w:sz w:val="22"/>
          <w:szCs w:val="22"/>
        </w:rPr>
      </w:pPr>
      <w:r w:rsidRPr="004554A8">
        <w:rPr>
          <w:sz w:val="22"/>
          <w:szCs w:val="22"/>
        </w:rPr>
        <w:t xml:space="preserve">       </w:t>
      </w:r>
      <w:r w:rsidR="00FE7BAA">
        <w:rPr>
          <w:sz w:val="22"/>
          <w:szCs w:val="22"/>
        </w:rPr>
        <w:t xml:space="preserve"> Данные, поступающие от источников-организаторов торговли в режиме основных торгов признаются биржевыми, в режиме РПС, ОТС или на основании данных отчетности профессиональных участников</w:t>
      </w:r>
      <w:r w:rsidR="00FE7BAA" w:rsidRPr="00FE7BAA">
        <w:rPr>
          <w:sz w:val="22"/>
          <w:szCs w:val="22"/>
        </w:rPr>
        <w:t xml:space="preserve"> </w:t>
      </w:r>
      <w:r w:rsidR="00FE7BAA">
        <w:rPr>
          <w:sz w:val="22"/>
          <w:szCs w:val="22"/>
        </w:rPr>
        <w:t>рынка ценных бумаг – внебиржевыми.</w:t>
      </w:r>
    </w:p>
    <w:p w14:paraId="7DC6E87F" w14:textId="77777777" w:rsidR="00FE7BAA" w:rsidRDefault="00FE7BAA" w:rsidP="00FE7BAA">
      <w:pPr>
        <w:jc w:val="both"/>
        <w:rPr>
          <w:sz w:val="22"/>
          <w:szCs w:val="22"/>
        </w:rPr>
      </w:pPr>
    </w:p>
    <w:p w14:paraId="52D23C68" w14:textId="77777777" w:rsidR="00FE7BAA" w:rsidRPr="00FE7BAA" w:rsidRDefault="00FE7BAA" w:rsidP="00FE7BAA">
      <w:pPr>
        <w:jc w:val="both"/>
        <w:rPr>
          <w:i/>
          <w:sz w:val="22"/>
          <w:szCs w:val="22"/>
        </w:rPr>
      </w:pPr>
      <w:r w:rsidRPr="00FE7BAA">
        <w:rPr>
          <w:i/>
          <w:sz w:val="22"/>
          <w:szCs w:val="22"/>
        </w:rPr>
        <w:t>Композитные площадки</w:t>
      </w:r>
    </w:p>
    <w:p w14:paraId="66644DC0" w14:textId="77777777" w:rsidR="004554A8" w:rsidRDefault="004554A8" w:rsidP="00522A07">
      <w:pPr>
        <w:jc w:val="both"/>
        <w:rPr>
          <w:sz w:val="22"/>
          <w:szCs w:val="22"/>
        </w:rPr>
      </w:pPr>
    </w:p>
    <w:p w14:paraId="3107B523" w14:textId="77777777" w:rsidR="00FE7BAA" w:rsidRDefault="00FE7BAA" w:rsidP="00FE7BAA">
      <w:pPr>
        <w:jc w:val="both"/>
        <w:rPr>
          <w:sz w:val="22"/>
          <w:szCs w:val="22"/>
        </w:rPr>
      </w:pPr>
      <w:r>
        <w:rPr>
          <w:sz w:val="22"/>
          <w:szCs w:val="22"/>
        </w:rPr>
        <w:t xml:space="preserve">      Данные, получаемые от сервисов-агрегаторов рыночной информации признаются композитными, т.е. рассчитанными в соответствии с используемыми методиками цен агрегатора. </w:t>
      </w:r>
    </w:p>
    <w:p w14:paraId="0FBCD942" w14:textId="77777777" w:rsidR="00FE7BAA" w:rsidRDefault="00FE7BAA" w:rsidP="00FE7BAA">
      <w:pPr>
        <w:jc w:val="both"/>
        <w:rPr>
          <w:sz w:val="22"/>
          <w:szCs w:val="22"/>
        </w:rPr>
      </w:pPr>
    </w:p>
    <w:p w14:paraId="5AE76EC6" w14:textId="77777777" w:rsidR="00FE7BAA" w:rsidRPr="00FE7BAA" w:rsidRDefault="00FE7BAA" w:rsidP="00FE7BAA">
      <w:pPr>
        <w:jc w:val="both"/>
        <w:rPr>
          <w:i/>
          <w:sz w:val="22"/>
          <w:szCs w:val="22"/>
        </w:rPr>
      </w:pPr>
      <w:r>
        <w:rPr>
          <w:i/>
          <w:sz w:val="22"/>
          <w:szCs w:val="22"/>
        </w:rPr>
        <w:t>Непубличные источники данных</w:t>
      </w:r>
    </w:p>
    <w:p w14:paraId="7B918BCD" w14:textId="77777777" w:rsidR="00FE7BAA" w:rsidRDefault="00FE7BAA" w:rsidP="00FE7BAA">
      <w:pPr>
        <w:jc w:val="both"/>
        <w:rPr>
          <w:sz w:val="22"/>
          <w:szCs w:val="22"/>
        </w:rPr>
      </w:pPr>
    </w:p>
    <w:p w14:paraId="19AD2A91" w14:textId="77777777" w:rsidR="00FE7BAA" w:rsidRDefault="00FE7BAA" w:rsidP="00FE7BAA">
      <w:pPr>
        <w:jc w:val="both"/>
        <w:rPr>
          <w:sz w:val="22"/>
          <w:szCs w:val="22"/>
        </w:rPr>
      </w:pPr>
      <w:r>
        <w:rPr>
          <w:sz w:val="22"/>
          <w:szCs w:val="22"/>
        </w:rPr>
        <w:t xml:space="preserve">      Данные, получаемые от контрагентов или эмитентов по структурным нотам по запросу управляющего с периодичностью не реже одного раза в месяц.</w:t>
      </w:r>
    </w:p>
    <w:p w14:paraId="2346B027" w14:textId="77777777" w:rsidR="00FE7BAA" w:rsidRDefault="00FE7BAA" w:rsidP="00522A07">
      <w:pPr>
        <w:jc w:val="both"/>
        <w:rPr>
          <w:sz w:val="22"/>
          <w:szCs w:val="22"/>
        </w:rPr>
      </w:pPr>
    </w:p>
    <w:p w14:paraId="69E099D6" w14:textId="3022D9AF" w:rsidR="00DF75C3" w:rsidRPr="00DF75C3" w:rsidRDefault="00DF75C3" w:rsidP="00522A07">
      <w:pPr>
        <w:jc w:val="both"/>
        <w:rPr>
          <w:i/>
          <w:sz w:val="22"/>
          <w:szCs w:val="22"/>
        </w:rPr>
      </w:pPr>
      <w:r w:rsidRPr="00DF75C3">
        <w:rPr>
          <w:i/>
          <w:sz w:val="22"/>
          <w:szCs w:val="22"/>
        </w:rPr>
        <w:t>Информация по</w:t>
      </w:r>
      <w:r>
        <w:rPr>
          <w:i/>
          <w:sz w:val="22"/>
          <w:szCs w:val="22"/>
        </w:rPr>
        <w:t xml:space="preserve"> количественным  и стоимостным характеристикам</w:t>
      </w:r>
      <w:r w:rsidRPr="00DF75C3">
        <w:rPr>
          <w:i/>
          <w:sz w:val="22"/>
          <w:szCs w:val="22"/>
        </w:rPr>
        <w:t xml:space="preserve"> </w:t>
      </w:r>
      <w:r>
        <w:rPr>
          <w:i/>
          <w:sz w:val="22"/>
          <w:szCs w:val="22"/>
        </w:rPr>
        <w:t xml:space="preserve">цен </w:t>
      </w:r>
    </w:p>
    <w:p w14:paraId="687AA67E" w14:textId="77777777" w:rsidR="00C111C7" w:rsidRDefault="00C111C7" w:rsidP="00522A07">
      <w:pPr>
        <w:jc w:val="both"/>
        <w:rPr>
          <w:sz w:val="22"/>
          <w:szCs w:val="22"/>
        </w:rPr>
      </w:pPr>
    </w:p>
    <w:p w14:paraId="4452245D" w14:textId="77777777" w:rsidR="00DF75C3" w:rsidRDefault="00DF75C3" w:rsidP="00DF75C3">
      <w:pPr>
        <w:pStyle w:val="a3"/>
        <w:tabs>
          <w:tab w:val="left" w:pos="0"/>
        </w:tabs>
        <w:ind w:left="0"/>
        <w:jc w:val="both"/>
        <w:rPr>
          <w:sz w:val="22"/>
          <w:szCs w:val="22"/>
        </w:rPr>
      </w:pPr>
      <w:r>
        <w:rPr>
          <w:sz w:val="22"/>
          <w:szCs w:val="22"/>
        </w:rPr>
        <w:t xml:space="preserve">   Управляющий использует </w:t>
      </w:r>
      <w:r w:rsidRPr="00C111C7">
        <w:rPr>
          <w:sz w:val="22"/>
          <w:szCs w:val="22"/>
        </w:rPr>
        <w:t>и</w:t>
      </w:r>
      <w:r>
        <w:rPr>
          <w:sz w:val="22"/>
          <w:szCs w:val="22"/>
        </w:rPr>
        <w:t>нформацию по последним известным</w:t>
      </w:r>
      <w:r w:rsidRPr="00C111C7">
        <w:rPr>
          <w:sz w:val="22"/>
          <w:szCs w:val="22"/>
        </w:rPr>
        <w:t xml:space="preserve"> цен</w:t>
      </w:r>
      <w:r>
        <w:rPr>
          <w:sz w:val="22"/>
          <w:szCs w:val="22"/>
        </w:rPr>
        <w:t>ам</w:t>
      </w:r>
      <w:r w:rsidRPr="00C111C7">
        <w:rPr>
          <w:sz w:val="22"/>
          <w:szCs w:val="22"/>
        </w:rPr>
        <w:t xml:space="preserve"> с наибольшим объемом торгов</w:t>
      </w:r>
      <w:r>
        <w:rPr>
          <w:sz w:val="22"/>
          <w:szCs w:val="22"/>
        </w:rPr>
        <w:t>, количеством сделок</w:t>
      </w:r>
      <w:r w:rsidRPr="00C111C7">
        <w:rPr>
          <w:sz w:val="22"/>
          <w:szCs w:val="22"/>
        </w:rPr>
        <w:t xml:space="preserve"> на всех доступных для получения информации Управляющим площадках, но не </w:t>
      </w:r>
      <w:r>
        <w:rPr>
          <w:sz w:val="22"/>
          <w:szCs w:val="22"/>
        </w:rPr>
        <w:t>более пяти торговых дней.</w:t>
      </w:r>
    </w:p>
    <w:p w14:paraId="1E49CF8A" w14:textId="77777777" w:rsidR="00DF75C3" w:rsidRDefault="00DF75C3" w:rsidP="00DF75C3">
      <w:pPr>
        <w:pStyle w:val="a3"/>
        <w:tabs>
          <w:tab w:val="left" w:pos="0"/>
        </w:tabs>
        <w:ind w:left="0"/>
        <w:jc w:val="both"/>
        <w:rPr>
          <w:sz w:val="22"/>
          <w:szCs w:val="22"/>
        </w:rPr>
      </w:pPr>
    </w:p>
    <w:p w14:paraId="10ABAD1D" w14:textId="77777777" w:rsidR="00DF75C3" w:rsidRDefault="00DF75C3" w:rsidP="00DF75C3">
      <w:pPr>
        <w:pStyle w:val="a3"/>
        <w:tabs>
          <w:tab w:val="left" w:pos="0"/>
        </w:tabs>
        <w:ind w:left="0"/>
        <w:jc w:val="both"/>
        <w:rPr>
          <w:sz w:val="22"/>
          <w:szCs w:val="22"/>
        </w:rPr>
      </w:pPr>
      <w:r>
        <w:rPr>
          <w:sz w:val="22"/>
          <w:szCs w:val="22"/>
        </w:rPr>
        <w:t xml:space="preserve">         При определении рыночности цены используются показатели в соответствии с Таблицей №1:</w:t>
      </w:r>
    </w:p>
    <w:p w14:paraId="251CEC0E" w14:textId="77777777" w:rsidR="00DF75C3" w:rsidRDefault="00DF75C3" w:rsidP="00DF75C3">
      <w:pPr>
        <w:pStyle w:val="a3"/>
        <w:tabs>
          <w:tab w:val="left" w:pos="0"/>
        </w:tabs>
        <w:ind w:left="0"/>
        <w:jc w:val="both"/>
        <w:rPr>
          <w:sz w:val="22"/>
          <w:szCs w:val="22"/>
        </w:rPr>
      </w:pPr>
    </w:p>
    <w:p w14:paraId="6198A99A" w14:textId="77777777" w:rsidR="00DF75C3" w:rsidRDefault="00DF75C3" w:rsidP="00DF75C3">
      <w:pPr>
        <w:pStyle w:val="a3"/>
        <w:tabs>
          <w:tab w:val="left" w:pos="0"/>
        </w:tabs>
        <w:ind w:left="0"/>
        <w:jc w:val="both"/>
        <w:rPr>
          <w:sz w:val="22"/>
          <w:szCs w:val="22"/>
        </w:rPr>
      </w:pPr>
    </w:p>
    <w:p w14:paraId="38AF74F4" w14:textId="77777777" w:rsidR="00DF75C3" w:rsidRPr="00DF75C3" w:rsidRDefault="00DF75C3" w:rsidP="00DF75C3">
      <w:pPr>
        <w:pStyle w:val="a3"/>
        <w:tabs>
          <w:tab w:val="left" w:pos="0"/>
        </w:tabs>
        <w:ind w:left="0"/>
        <w:jc w:val="right"/>
        <w:rPr>
          <w:i/>
          <w:sz w:val="22"/>
          <w:szCs w:val="22"/>
        </w:rPr>
      </w:pPr>
      <w:r w:rsidRPr="00DF75C3">
        <w:rPr>
          <w:i/>
          <w:sz w:val="22"/>
          <w:szCs w:val="22"/>
        </w:rPr>
        <w:t xml:space="preserve">Таблица </w:t>
      </w:r>
      <w:r>
        <w:rPr>
          <w:i/>
          <w:sz w:val="22"/>
          <w:szCs w:val="22"/>
        </w:rPr>
        <w:t>№</w:t>
      </w:r>
      <w:r w:rsidRPr="00DF75C3">
        <w:rPr>
          <w:i/>
          <w:sz w:val="22"/>
          <w:szCs w:val="22"/>
        </w:rPr>
        <w:t>1</w:t>
      </w:r>
    </w:p>
    <w:p w14:paraId="3E267FB8" w14:textId="77777777" w:rsidR="00DF75C3" w:rsidRDefault="00DF75C3" w:rsidP="00DF75C3">
      <w:pPr>
        <w:pStyle w:val="a3"/>
        <w:tabs>
          <w:tab w:val="left" w:pos="0"/>
        </w:tabs>
        <w:ind w:left="0"/>
        <w:jc w:val="both"/>
        <w:rPr>
          <w:sz w:val="22"/>
          <w:szCs w:val="22"/>
        </w:rPr>
      </w:pPr>
    </w:p>
    <w:tbl>
      <w:tblPr>
        <w:tblW w:w="9230" w:type="dxa"/>
        <w:jc w:val="center"/>
        <w:tblCellMar>
          <w:top w:w="15" w:type="dxa"/>
          <w:left w:w="15" w:type="dxa"/>
          <w:bottom w:w="15" w:type="dxa"/>
          <w:right w:w="15" w:type="dxa"/>
        </w:tblCellMar>
        <w:tblLook w:val="04A0" w:firstRow="1" w:lastRow="0" w:firstColumn="1" w:lastColumn="0" w:noHBand="0" w:noVBand="1"/>
      </w:tblPr>
      <w:tblGrid>
        <w:gridCol w:w="2119"/>
        <w:gridCol w:w="1842"/>
        <w:gridCol w:w="1995"/>
        <w:gridCol w:w="1817"/>
        <w:gridCol w:w="1457"/>
      </w:tblGrid>
      <w:tr w:rsidR="00DF75C3" w:rsidRPr="00DF75C3" w14:paraId="52906DB8" w14:textId="77777777" w:rsidTr="00DF75C3">
        <w:trPr>
          <w:jc w:val="center"/>
        </w:trPr>
        <w:tc>
          <w:tcPr>
            <w:tcW w:w="211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FE8FD5" w14:textId="77777777" w:rsidR="00DF75C3" w:rsidRPr="00DF75C3" w:rsidRDefault="00DF75C3" w:rsidP="00DF75C3">
            <w:pPr>
              <w:rPr>
                <w:rFonts w:ascii="Times New Roman" w:hAnsi="Times New Roman" w:cs="Times New Roman"/>
                <w:bCs/>
                <w:color w:val="172B4D"/>
                <w:sz w:val="21"/>
                <w:szCs w:val="21"/>
              </w:rPr>
            </w:pPr>
            <w:r w:rsidRPr="00DF75C3">
              <w:rPr>
                <w:rFonts w:ascii="Times New Roman" w:hAnsi="Times New Roman" w:cs="Times New Roman"/>
                <w:bCs/>
                <w:color w:val="172B4D"/>
                <w:sz w:val="21"/>
                <w:szCs w:val="21"/>
              </w:rPr>
              <w:t>Параметр</w:t>
            </w:r>
          </w:p>
        </w:tc>
        <w:tc>
          <w:tcPr>
            <w:tcW w:w="1842"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1E0BDFC" w14:textId="77777777" w:rsidR="00DF75C3" w:rsidRPr="00DF75C3" w:rsidRDefault="00DF75C3" w:rsidP="00DF75C3">
            <w:pPr>
              <w:rPr>
                <w:rFonts w:ascii="Times New Roman" w:hAnsi="Times New Roman" w:cs="Times New Roman"/>
                <w:bCs/>
                <w:color w:val="172B4D"/>
                <w:sz w:val="21"/>
                <w:szCs w:val="21"/>
              </w:rPr>
            </w:pPr>
            <w:r w:rsidRPr="00DF75C3">
              <w:rPr>
                <w:rFonts w:ascii="Times New Roman" w:hAnsi="Times New Roman" w:cs="Times New Roman"/>
                <w:bCs/>
                <w:color w:val="172B4D"/>
                <w:sz w:val="21"/>
                <w:szCs w:val="21"/>
              </w:rPr>
              <w:t>Ро</w:t>
            </w:r>
            <w:r>
              <w:rPr>
                <w:rFonts w:ascii="Times New Roman" w:hAnsi="Times New Roman" w:cs="Times New Roman"/>
                <w:bCs/>
                <w:color w:val="172B4D"/>
                <w:sz w:val="21"/>
                <w:szCs w:val="21"/>
              </w:rPr>
              <w:t xml:space="preserve">ссийские </w:t>
            </w:r>
            <w:r w:rsidRPr="00DF75C3">
              <w:rPr>
                <w:rFonts w:ascii="Times New Roman" w:hAnsi="Times New Roman" w:cs="Times New Roman"/>
                <w:bCs/>
                <w:color w:val="172B4D"/>
                <w:sz w:val="21"/>
                <w:szCs w:val="21"/>
              </w:rPr>
              <w:t>организаторы торговли</w:t>
            </w:r>
          </w:p>
        </w:tc>
        <w:tc>
          <w:tcPr>
            <w:tcW w:w="1995"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5E5640E" w14:textId="77777777" w:rsidR="00DF75C3" w:rsidRPr="00DF75C3" w:rsidRDefault="00DF75C3" w:rsidP="00DF75C3">
            <w:pPr>
              <w:rPr>
                <w:rFonts w:ascii="Times New Roman" w:hAnsi="Times New Roman" w:cs="Times New Roman"/>
                <w:bCs/>
                <w:color w:val="172B4D"/>
                <w:sz w:val="21"/>
                <w:szCs w:val="21"/>
              </w:rPr>
            </w:pPr>
            <w:r w:rsidRPr="00DF75C3">
              <w:rPr>
                <w:rFonts w:ascii="Times New Roman" w:hAnsi="Times New Roman" w:cs="Times New Roman"/>
                <w:bCs/>
                <w:color w:val="172B4D"/>
                <w:sz w:val="21"/>
                <w:szCs w:val="21"/>
              </w:rPr>
              <w:t>ОТС рынок по росс. орг. торговли</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C3C627F" w14:textId="77777777" w:rsidR="00DF75C3" w:rsidRPr="00DF75C3" w:rsidRDefault="00DF75C3" w:rsidP="00DF75C3">
            <w:pPr>
              <w:rPr>
                <w:rFonts w:ascii="Times New Roman" w:hAnsi="Times New Roman" w:cs="Times New Roman"/>
                <w:bCs/>
                <w:color w:val="172B4D"/>
                <w:sz w:val="21"/>
                <w:szCs w:val="21"/>
              </w:rPr>
            </w:pPr>
            <w:r w:rsidRPr="00DF75C3">
              <w:rPr>
                <w:rFonts w:ascii="Times New Roman" w:hAnsi="Times New Roman" w:cs="Times New Roman"/>
                <w:bCs/>
                <w:color w:val="172B4D"/>
                <w:sz w:val="21"/>
                <w:szCs w:val="21"/>
              </w:rPr>
              <w:t>Внебиржевая отчетность по сделкам в РФ</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39B942E" w14:textId="77777777" w:rsidR="00DF75C3" w:rsidRPr="00DF75C3" w:rsidRDefault="00DF75C3" w:rsidP="00DF75C3">
            <w:pPr>
              <w:rPr>
                <w:rFonts w:ascii="Times New Roman" w:hAnsi="Times New Roman" w:cs="Times New Roman"/>
                <w:bCs/>
                <w:color w:val="172B4D"/>
                <w:sz w:val="21"/>
                <w:szCs w:val="21"/>
              </w:rPr>
            </w:pPr>
            <w:r w:rsidRPr="00DF75C3">
              <w:rPr>
                <w:rFonts w:ascii="Times New Roman" w:hAnsi="Times New Roman" w:cs="Times New Roman"/>
                <w:bCs/>
                <w:color w:val="172B4D"/>
                <w:sz w:val="21"/>
                <w:szCs w:val="21"/>
              </w:rPr>
              <w:t>Глобальные рынки</w:t>
            </w:r>
          </w:p>
        </w:tc>
      </w:tr>
      <w:tr w:rsidR="00DF75C3" w:rsidRPr="00DF75C3" w14:paraId="2CBD8CF3" w14:textId="77777777" w:rsidTr="00DF75C3">
        <w:trPr>
          <w:jc w:val="center"/>
        </w:trPr>
        <w:tc>
          <w:tcPr>
            <w:tcW w:w="2119"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09CE10DA" w14:textId="77777777" w:rsidR="00DF75C3" w:rsidRPr="00DF75C3" w:rsidRDefault="00C9595B" w:rsidP="00DF75C3">
            <w:pPr>
              <w:rPr>
                <w:rFonts w:ascii="Segoe UI" w:hAnsi="Segoe UI" w:cs="Segoe UI"/>
                <w:color w:val="333333"/>
                <w:sz w:val="21"/>
                <w:szCs w:val="21"/>
              </w:rPr>
            </w:pPr>
            <w:r>
              <w:rPr>
                <w:rFonts w:ascii="Segoe UI" w:hAnsi="Segoe UI" w:cs="Segoe UI"/>
                <w:color w:val="333333"/>
                <w:sz w:val="21"/>
                <w:szCs w:val="21"/>
              </w:rPr>
              <w:t>Глубина поиска котировки, дней</w:t>
            </w:r>
          </w:p>
        </w:tc>
        <w:tc>
          <w:tcPr>
            <w:tcW w:w="1842"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416928FA" w14:textId="77777777" w:rsidR="00DF75C3" w:rsidRPr="00DF75C3" w:rsidRDefault="00DF75C3" w:rsidP="00DF75C3">
            <w:pPr>
              <w:rPr>
                <w:rFonts w:ascii="Segoe UI" w:hAnsi="Segoe UI" w:cs="Segoe UI"/>
                <w:color w:val="333333"/>
                <w:sz w:val="21"/>
                <w:szCs w:val="21"/>
              </w:rPr>
            </w:pPr>
            <w:r w:rsidRPr="00DF75C3">
              <w:rPr>
                <w:rFonts w:ascii="Segoe UI" w:hAnsi="Segoe UI" w:cs="Segoe UI"/>
                <w:color w:val="333333"/>
                <w:sz w:val="21"/>
                <w:szCs w:val="21"/>
              </w:rPr>
              <w:t>90</w:t>
            </w:r>
          </w:p>
        </w:tc>
        <w:tc>
          <w:tcPr>
            <w:tcW w:w="1995"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7A55D7FB" w14:textId="77777777" w:rsidR="00DF75C3" w:rsidRPr="00DF75C3" w:rsidRDefault="00DF75C3" w:rsidP="00DF75C3">
            <w:pPr>
              <w:rPr>
                <w:rFonts w:ascii="Segoe UI" w:hAnsi="Segoe UI" w:cs="Segoe UI"/>
                <w:color w:val="333333"/>
                <w:sz w:val="21"/>
                <w:szCs w:val="21"/>
              </w:rPr>
            </w:pPr>
            <w:r w:rsidRPr="00DF75C3">
              <w:rPr>
                <w:rFonts w:ascii="Segoe UI" w:hAnsi="Segoe UI" w:cs="Segoe UI"/>
                <w:color w:val="333333"/>
                <w:sz w:val="21"/>
                <w:szCs w:val="21"/>
              </w:rPr>
              <w:t>180</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4A4BBE3B" w14:textId="77777777" w:rsidR="00DF75C3" w:rsidRPr="00DF75C3" w:rsidRDefault="00DF75C3" w:rsidP="00DF75C3">
            <w:pPr>
              <w:rPr>
                <w:rFonts w:ascii="Segoe UI" w:hAnsi="Segoe UI" w:cs="Segoe UI"/>
                <w:color w:val="333333"/>
                <w:sz w:val="21"/>
                <w:szCs w:val="21"/>
              </w:rPr>
            </w:pPr>
            <w:r w:rsidRPr="00DF75C3">
              <w:rPr>
                <w:rFonts w:ascii="Segoe UI" w:hAnsi="Segoe UI" w:cs="Segoe UI"/>
                <w:color w:val="333333"/>
                <w:sz w:val="21"/>
                <w:szCs w:val="21"/>
              </w:rPr>
              <w:t>180</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56CDB5A0" w14:textId="77777777" w:rsidR="00DF75C3" w:rsidRPr="00DF75C3" w:rsidRDefault="00C9595B" w:rsidP="00DF75C3">
            <w:pPr>
              <w:rPr>
                <w:rFonts w:ascii="Segoe UI" w:hAnsi="Segoe UI" w:cs="Segoe UI"/>
                <w:color w:val="333333"/>
                <w:sz w:val="21"/>
                <w:szCs w:val="21"/>
                <w:lang w:val="en-US"/>
              </w:rPr>
            </w:pPr>
            <w:r>
              <w:rPr>
                <w:rFonts w:ascii="Segoe UI" w:hAnsi="Segoe UI" w:cs="Segoe UI"/>
                <w:color w:val="333333"/>
                <w:sz w:val="21"/>
                <w:szCs w:val="21"/>
                <w:lang w:val="en-US"/>
              </w:rPr>
              <w:t>360</w:t>
            </w:r>
          </w:p>
        </w:tc>
      </w:tr>
      <w:tr w:rsidR="00DF75C3" w:rsidRPr="00DF75C3" w14:paraId="609E9452" w14:textId="77777777" w:rsidTr="00DF75C3">
        <w:trPr>
          <w:jc w:val="center"/>
        </w:trPr>
        <w:tc>
          <w:tcPr>
            <w:tcW w:w="2119"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7ED5073D" w14:textId="77777777" w:rsidR="00DF75C3" w:rsidRPr="00DF75C3" w:rsidRDefault="00C9595B" w:rsidP="00DF75C3">
            <w:pPr>
              <w:rPr>
                <w:rFonts w:ascii="Segoe UI" w:hAnsi="Segoe UI" w:cs="Segoe UI"/>
                <w:color w:val="333333"/>
                <w:sz w:val="21"/>
                <w:szCs w:val="21"/>
              </w:rPr>
            </w:pPr>
            <w:r>
              <w:rPr>
                <w:rFonts w:ascii="Segoe UI" w:hAnsi="Segoe UI" w:cs="Segoe UI"/>
                <w:color w:val="333333"/>
                <w:sz w:val="21"/>
                <w:szCs w:val="21"/>
              </w:rPr>
              <w:t>Количество сделок</w:t>
            </w:r>
          </w:p>
        </w:tc>
        <w:tc>
          <w:tcPr>
            <w:tcW w:w="1842"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4D839B82" w14:textId="77777777" w:rsidR="00DF75C3" w:rsidRPr="00DF75C3" w:rsidRDefault="00C9595B" w:rsidP="00DF75C3">
            <w:pPr>
              <w:rPr>
                <w:rFonts w:ascii="Segoe UI" w:hAnsi="Segoe UI" w:cs="Segoe UI"/>
                <w:color w:val="333333"/>
                <w:sz w:val="21"/>
                <w:szCs w:val="21"/>
                <w:lang w:val="en-US"/>
              </w:rPr>
            </w:pPr>
            <w:r>
              <w:rPr>
                <w:rFonts w:ascii="Segoe UI" w:hAnsi="Segoe UI" w:cs="Segoe UI"/>
                <w:color w:val="333333"/>
                <w:sz w:val="21"/>
                <w:szCs w:val="21"/>
                <w:lang w:val="en-US"/>
              </w:rPr>
              <w:t>&gt;0</w:t>
            </w:r>
          </w:p>
        </w:tc>
        <w:tc>
          <w:tcPr>
            <w:tcW w:w="1995"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4CF196E1" w14:textId="77777777" w:rsidR="00DF75C3" w:rsidRPr="00DF75C3" w:rsidRDefault="00C9595B" w:rsidP="00DF75C3">
            <w:pPr>
              <w:rPr>
                <w:rFonts w:ascii="Segoe UI" w:hAnsi="Segoe UI" w:cs="Segoe UI"/>
                <w:color w:val="333333"/>
                <w:sz w:val="21"/>
                <w:szCs w:val="21"/>
              </w:rPr>
            </w:pPr>
            <w:r>
              <w:rPr>
                <w:rFonts w:ascii="Segoe UI" w:hAnsi="Segoe UI" w:cs="Segoe UI"/>
                <w:color w:val="333333"/>
                <w:sz w:val="21"/>
                <w:szCs w:val="21"/>
                <w:lang w:val="en-US"/>
              </w:rPr>
              <w:t>&gt;</w:t>
            </w:r>
            <w:r w:rsidR="00DF75C3" w:rsidRPr="00DF75C3">
              <w:rPr>
                <w:rFonts w:ascii="Segoe UI" w:hAnsi="Segoe UI" w:cs="Segoe UI"/>
                <w:color w:val="333333"/>
                <w:sz w:val="21"/>
                <w:szCs w:val="21"/>
              </w:rPr>
              <w:t>1</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6B36089B" w14:textId="77777777" w:rsidR="00DF75C3" w:rsidRPr="00DF75C3" w:rsidRDefault="00C9595B" w:rsidP="00DF75C3">
            <w:pPr>
              <w:rPr>
                <w:rFonts w:ascii="Segoe UI" w:hAnsi="Segoe UI" w:cs="Segoe UI"/>
                <w:color w:val="333333"/>
                <w:sz w:val="21"/>
                <w:szCs w:val="21"/>
              </w:rPr>
            </w:pPr>
            <w:r>
              <w:rPr>
                <w:rFonts w:ascii="Segoe UI" w:hAnsi="Segoe UI" w:cs="Segoe UI"/>
                <w:color w:val="333333"/>
                <w:sz w:val="21"/>
                <w:szCs w:val="21"/>
                <w:lang w:val="en-US"/>
              </w:rPr>
              <w:t>&gt;</w:t>
            </w:r>
            <w:r w:rsidR="00DF75C3" w:rsidRPr="00DF75C3">
              <w:rPr>
                <w:rFonts w:ascii="Segoe UI" w:hAnsi="Segoe UI" w:cs="Segoe UI"/>
                <w:color w:val="333333"/>
                <w:sz w:val="21"/>
                <w:szCs w:val="21"/>
              </w:rPr>
              <w:t>10</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12F51E78" w14:textId="77777777" w:rsidR="00DF75C3" w:rsidRPr="00DF75C3" w:rsidRDefault="00C9595B" w:rsidP="00DF75C3">
            <w:pPr>
              <w:rPr>
                <w:rFonts w:ascii="Segoe UI" w:hAnsi="Segoe UI" w:cs="Segoe UI"/>
                <w:color w:val="333333"/>
                <w:sz w:val="21"/>
                <w:szCs w:val="21"/>
                <w:lang w:val="en-US"/>
              </w:rPr>
            </w:pPr>
            <w:r>
              <w:rPr>
                <w:rFonts w:ascii="Segoe UI" w:hAnsi="Segoe UI" w:cs="Segoe UI"/>
                <w:color w:val="333333"/>
                <w:sz w:val="21"/>
                <w:szCs w:val="21"/>
                <w:lang w:val="en-US"/>
              </w:rPr>
              <w:t>-</w:t>
            </w:r>
          </w:p>
        </w:tc>
      </w:tr>
      <w:tr w:rsidR="00DF75C3" w:rsidRPr="00DF75C3" w14:paraId="6FF8B575" w14:textId="77777777" w:rsidTr="00DF75C3">
        <w:trPr>
          <w:jc w:val="center"/>
        </w:trPr>
        <w:tc>
          <w:tcPr>
            <w:tcW w:w="2119"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3EACE681" w14:textId="77777777" w:rsidR="00DF75C3" w:rsidRPr="00DF75C3" w:rsidRDefault="00C9595B" w:rsidP="00DF75C3">
            <w:pPr>
              <w:rPr>
                <w:rFonts w:ascii="Segoe UI" w:hAnsi="Segoe UI" w:cs="Segoe UI"/>
                <w:color w:val="333333"/>
                <w:sz w:val="21"/>
                <w:szCs w:val="21"/>
              </w:rPr>
            </w:pPr>
            <w:r>
              <w:rPr>
                <w:rFonts w:ascii="Segoe UI" w:hAnsi="Segoe UI" w:cs="Segoe UI"/>
                <w:color w:val="333333"/>
                <w:sz w:val="21"/>
                <w:szCs w:val="21"/>
              </w:rPr>
              <w:lastRenderedPageBreak/>
              <w:t>Объем сделок,</w:t>
            </w:r>
            <w:r w:rsidR="00DF75C3" w:rsidRPr="00DF75C3">
              <w:rPr>
                <w:rFonts w:ascii="Segoe UI" w:hAnsi="Segoe UI" w:cs="Segoe UI"/>
                <w:color w:val="333333"/>
                <w:sz w:val="21"/>
                <w:szCs w:val="21"/>
              </w:rPr>
              <w:t xml:space="preserve"> эквивалент RUB</w:t>
            </w:r>
          </w:p>
        </w:tc>
        <w:tc>
          <w:tcPr>
            <w:tcW w:w="1842"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0A13BF1B" w14:textId="77777777" w:rsidR="00DF75C3" w:rsidRPr="00DF75C3" w:rsidRDefault="00C9595B" w:rsidP="00DF75C3">
            <w:pPr>
              <w:rPr>
                <w:rFonts w:ascii="Segoe UI" w:hAnsi="Segoe UI" w:cs="Segoe UI"/>
                <w:color w:val="333333"/>
                <w:sz w:val="21"/>
                <w:szCs w:val="21"/>
              </w:rPr>
            </w:pPr>
            <w:r>
              <w:rPr>
                <w:rFonts w:ascii="Segoe UI" w:hAnsi="Segoe UI" w:cs="Segoe UI"/>
                <w:color w:val="333333"/>
                <w:sz w:val="21"/>
                <w:szCs w:val="21"/>
              </w:rPr>
              <w:t>&gt;0</w:t>
            </w:r>
          </w:p>
        </w:tc>
        <w:tc>
          <w:tcPr>
            <w:tcW w:w="1995" w:type="dxa"/>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329712ED" w14:textId="77777777" w:rsidR="00DF75C3" w:rsidRPr="00DF75C3" w:rsidRDefault="00C9595B" w:rsidP="00DF75C3">
            <w:pPr>
              <w:rPr>
                <w:rFonts w:ascii="Segoe UI" w:hAnsi="Segoe UI" w:cs="Segoe UI"/>
                <w:color w:val="333333"/>
                <w:sz w:val="21"/>
                <w:szCs w:val="21"/>
              </w:rPr>
            </w:pPr>
            <w:r>
              <w:rPr>
                <w:rFonts w:ascii="Segoe UI" w:hAnsi="Segoe UI" w:cs="Segoe UI"/>
                <w:color w:val="333333"/>
                <w:sz w:val="21"/>
                <w:szCs w:val="21"/>
                <w:lang w:val="en-US"/>
              </w:rPr>
              <w:t>&gt;</w:t>
            </w:r>
            <w:r w:rsidR="00DF75C3" w:rsidRPr="00DF75C3">
              <w:rPr>
                <w:rFonts w:ascii="Segoe UI" w:hAnsi="Segoe UI" w:cs="Segoe UI"/>
                <w:color w:val="333333"/>
                <w:sz w:val="21"/>
                <w:szCs w:val="21"/>
              </w:rPr>
              <w:t>500</w:t>
            </w:r>
            <w:r>
              <w:rPr>
                <w:rFonts w:ascii="Segoe UI" w:hAnsi="Segoe UI" w:cs="Segoe UI"/>
                <w:color w:val="333333"/>
                <w:sz w:val="21"/>
                <w:szCs w:val="21"/>
                <w:lang w:val="en-US"/>
              </w:rPr>
              <w:t xml:space="preserve"> </w:t>
            </w:r>
            <w:r w:rsidR="00DF75C3" w:rsidRPr="00DF75C3">
              <w:rPr>
                <w:rFonts w:ascii="Segoe UI" w:hAnsi="Segoe UI" w:cs="Segoe UI"/>
                <w:color w:val="333333"/>
                <w:sz w:val="21"/>
                <w:szCs w:val="21"/>
              </w:rPr>
              <w:t>000</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68BDD6B3" w14:textId="77777777" w:rsidR="00DF75C3" w:rsidRPr="00DF75C3" w:rsidRDefault="00C9595B" w:rsidP="00DF75C3">
            <w:pPr>
              <w:rPr>
                <w:rFonts w:ascii="Segoe UI" w:hAnsi="Segoe UI" w:cs="Segoe UI"/>
                <w:color w:val="333333"/>
                <w:sz w:val="21"/>
                <w:szCs w:val="21"/>
              </w:rPr>
            </w:pPr>
            <w:r>
              <w:rPr>
                <w:rFonts w:ascii="Segoe UI" w:hAnsi="Segoe UI" w:cs="Segoe UI"/>
                <w:color w:val="333333"/>
                <w:sz w:val="21"/>
                <w:szCs w:val="21"/>
                <w:lang w:val="en-US"/>
              </w:rPr>
              <w:t>&gt;</w:t>
            </w:r>
            <w:r w:rsidR="00DF75C3" w:rsidRPr="00DF75C3">
              <w:rPr>
                <w:rFonts w:ascii="Segoe UI" w:hAnsi="Segoe UI" w:cs="Segoe UI"/>
                <w:color w:val="333333"/>
                <w:sz w:val="21"/>
                <w:szCs w:val="21"/>
              </w:rPr>
              <w:t>1</w:t>
            </w:r>
            <w:r>
              <w:rPr>
                <w:rFonts w:ascii="Segoe UI" w:hAnsi="Segoe UI" w:cs="Segoe UI"/>
                <w:color w:val="333333"/>
                <w:sz w:val="21"/>
                <w:szCs w:val="21"/>
                <w:lang w:val="en-US"/>
              </w:rPr>
              <w:t xml:space="preserve"> </w:t>
            </w:r>
            <w:r w:rsidR="00DF75C3" w:rsidRPr="00DF75C3">
              <w:rPr>
                <w:rFonts w:ascii="Segoe UI" w:hAnsi="Segoe UI" w:cs="Segoe UI"/>
                <w:color w:val="333333"/>
                <w:sz w:val="21"/>
                <w:szCs w:val="21"/>
              </w:rPr>
              <w:t>000</w:t>
            </w:r>
            <w:r>
              <w:rPr>
                <w:rFonts w:ascii="Segoe UI" w:hAnsi="Segoe UI" w:cs="Segoe UI"/>
                <w:color w:val="333333"/>
                <w:sz w:val="21"/>
                <w:szCs w:val="21"/>
                <w:lang w:val="en-US"/>
              </w:rPr>
              <w:t xml:space="preserve"> </w:t>
            </w:r>
            <w:r w:rsidR="00DF75C3" w:rsidRPr="00DF75C3">
              <w:rPr>
                <w:rFonts w:ascii="Segoe UI" w:hAnsi="Segoe UI" w:cs="Segoe UI"/>
                <w:color w:val="333333"/>
                <w:sz w:val="21"/>
                <w:szCs w:val="21"/>
              </w:rPr>
              <w:t>000</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14:paraId="55E2919A" w14:textId="77777777" w:rsidR="00DF75C3" w:rsidRPr="00DF75C3" w:rsidRDefault="00C9595B" w:rsidP="00DF75C3">
            <w:pPr>
              <w:rPr>
                <w:rFonts w:ascii="Segoe UI" w:hAnsi="Segoe UI" w:cs="Segoe UI"/>
                <w:color w:val="333333"/>
                <w:sz w:val="21"/>
                <w:szCs w:val="21"/>
                <w:lang w:val="en-US"/>
              </w:rPr>
            </w:pPr>
            <w:r>
              <w:rPr>
                <w:rFonts w:ascii="Segoe UI" w:hAnsi="Segoe UI" w:cs="Segoe UI"/>
                <w:color w:val="333333"/>
                <w:sz w:val="21"/>
                <w:szCs w:val="21"/>
                <w:lang w:val="en-US"/>
              </w:rPr>
              <w:t>-</w:t>
            </w:r>
          </w:p>
        </w:tc>
      </w:tr>
    </w:tbl>
    <w:p w14:paraId="335634A7" w14:textId="77777777" w:rsidR="00DF75C3" w:rsidRDefault="00DF75C3" w:rsidP="00DF75C3">
      <w:pPr>
        <w:pStyle w:val="a3"/>
        <w:tabs>
          <w:tab w:val="left" w:pos="0"/>
        </w:tabs>
        <w:ind w:left="0"/>
        <w:jc w:val="both"/>
        <w:rPr>
          <w:sz w:val="22"/>
          <w:szCs w:val="22"/>
        </w:rPr>
      </w:pPr>
    </w:p>
    <w:p w14:paraId="0D2EBAEB" w14:textId="77777777" w:rsidR="003003E8" w:rsidRDefault="00511443" w:rsidP="00AB1CDF">
      <w:pPr>
        <w:pStyle w:val="a3"/>
        <w:numPr>
          <w:ilvl w:val="2"/>
          <w:numId w:val="14"/>
        </w:numPr>
        <w:spacing w:after="120" w:line="259" w:lineRule="auto"/>
        <w:ind w:left="567" w:hanging="567"/>
        <w:contextualSpacing w:val="0"/>
        <w:jc w:val="both"/>
        <w:rPr>
          <w:sz w:val="22"/>
          <w:szCs w:val="22"/>
        </w:rPr>
      </w:pPr>
      <w:r w:rsidRPr="00511443">
        <w:rPr>
          <w:sz w:val="22"/>
          <w:szCs w:val="22"/>
        </w:rPr>
        <w:t>Акции и паи российских и иностранных эмитентов, депозитарные расписки:</w:t>
      </w:r>
    </w:p>
    <w:p w14:paraId="54C59173" w14:textId="77777777" w:rsidR="003003E8" w:rsidRDefault="003003E8" w:rsidP="00AB1CDF">
      <w:pPr>
        <w:pStyle w:val="a3"/>
        <w:numPr>
          <w:ilvl w:val="3"/>
          <w:numId w:val="14"/>
        </w:numPr>
        <w:spacing w:after="120" w:line="259" w:lineRule="auto"/>
        <w:ind w:left="851" w:hanging="851"/>
        <w:contextualSpacing w:val="0"/>
        <w:jc w:val="both"/>
        <w:rPr>
          <w:sz w:val="22"/>
          <w:szCs w:val="22"/>
        </w:rPr>
      </w:pPr>
      <w:r>
        <w:rPr>
          <w:sz w:val="22"/>
          <w:szCs w:val="22"/>
        </w:rPr>
        <w:t xml:space="preserve">оценочная стоимость акций и паев российских и иностранных эмитентов, депозитарных расписок, допущенных к торгам ПАО «Московская Биржа ММВБ-РТС» - по рыночной цене </w:t>
      </w:r>
      <w:r>
        <w:rPr>
          <w:sz w:val="22"/>
          <w:szCs w:val="22"/>
          <w:lang w:val="en-US"/>
        </w:rPr>
        <w:t>marketprice</w:t>
      </w:r>
      <w:r w:rsidRPr="003003E8">
        <w:rPr>
          <w:sz w:val="22"/>
          <w:szCs w:val="22"/>
        </w:rPr>
        <w:t>3</w:t>
      </w:r>
      <w:r>
        <w:rPr>
          <w:sz w:val="22"/>
          <w:szCs w:val="22"/>
        </w:rPr>
        <w:t>. Если она неизвестна или не получена на дату расчета – по средневзвешенной цене на дату расчета;</w:t>
      </w:r>
    </w:p>
    <w:p w14:paraId="3A69DEF1" w14:textId="77777777" w:rsidR="003003E8" w:rsidRDefault="003003E8" w:rsidP="00AB1CDF">
      <w:pPr>
        <w:pStyle w:val="a3"/>
        <w:numPr>
          <w:ilvl w:val="3"/>
          <w:numId w:val="14"/>
        </w:numPr>
        <w:spacing w:after="120" w:line="259" w:lineRule="auto"/>
        <w:ind w:left="851" w:hanging="851"/>
        <w:contextualSpacing w:val="0"/>
        <w:jc w:val="both"/>
        <w:rPr>
          <w:sz w:val="22"/>
          <w:szCs w:val="22"/>
        </w:rPr>
      </w:pPr>
      <w:r>
        <w:rPr>
          <w:sz w:val="22"/>
          <w:szCs w:val="22"/>
        </w:rPr>
        <w:t xml:space="preserve">оценочная стоимость акций и паев российских и иностранных эмитентов, депозитарных расписок, допущенных к торгам ПАО «СПБ Биржа» - по рыночной цене </w:t>
      </w:r>
      <w:r>
        <w:rPr>
          <w:sz w:val="22"/>
          <w:szCs w:val="22"/>
          <w:lang w:val="en-US"/>
        </w:rPr>
        <w:t>marketprice</w:t>
      </w:r>
      <w:r w:rsidRPr="003003E8">
        <w:rPr>
          <w:sz w:val="22"/>
          <w:szCs w:val="22"/>
        </w:rPr>
        <w:t>3</w:t>
      </w:r>
      <w:r>
        <w:rPr>
          <w:sz w:val="22"/>
          <w:szCs w:val="22"/>
        </w:rPr>
        <w:t>. Если она не известна или не получена на дату расчета – по средневзвешенной цене на дату расчета;</w:t>
      </w:r>
    </w:p>
    <w:p w14:paraId="0A9A8830" w14:textId="77777777" w:rsidR="003003E8" w:rsidRDefault="001C6750" w:rsidP="00AB1CDF">
      <w:pPr>
        <w:pStyle w:val="a3"/>
        <w:numPr>
          <w:ilvl w:val="3"/>
          <w:numId w:val="14"/>
        </w:numPr>
        <w:spacing w:after="120"/>
        <w:ind w:left="851" w:hanging="851"/>
        <w:contextualSpacing w:val="0"/>
        <w:jc w:val="both"/>
        <w:rPr>
          <w:sz w:val="22"/>
          <w:szCs w:val="22"/>
        </w:rPr>
      </w:pPr>
      <w:r>
        <w:rPr>
          <w:sz w:val="22"/>
          <w:szCs w:val="22"/>
        </w:rPr>
        <w:t xml:space="preserve">оценочная стоимость </w:t>
      </w:r>
      <w:r w:rsidR="007C0161" w:rsidRPr="00511443">
        <w:rPr>
          <w:sz w:val="22"/>
          <w:szCs w:val="22"/>
        </w:rPr>
        <w:t xml:space="preserve">акций и паев российских и иностранных эмитентов, депозитарных расписок, </w:t>
      </w:r>
      <w:r w:rsidR="00511443">
        <w:rPr>
          <w:sz w:val="22"/>
          <w:szCs w:val="22"/>
        </w:rPr>
        <w:t>информация о которых доступна</w:t>
      </w:r>
      <w:r w:rsidR="00511443" w:rsidRPr="00511443">
        <w:rPr>
          <w:sz w:val="22"/>
          <w:szCs w:val="22"/>
        </w:rPr>
        <w:t xml:space="preserve"> </w:t>
      </w:r>
      <w:r w:rsidR="003862F5" w:rsidRPr="00511443">
        <w:rPr>
          <w:sz w:val="22"/>
          <w:szCs w:val="22"/>
        </w:rPr>
        <w:t>в</w:t>
      </w:r>
      <w:r w:rsidR="007C0161" w:rsidRPr="00511443">
        <w:rPr>
          <w:sz w:val="22"/>
          <w:szCs w:val="22"/>
        </w:rPr>
        <w:t xml:space="preserve"> информационной системе </w:t>
      </w:r>
      <w:r w:rsidR="007C0161" w:rsidRPr="00511443">
        <w:rPr>
          <w:sz w:val="22"/>
          <w:szCs w:val="22"/>
          <w:lang w:val="en-US"/>
        </w:rPr>
        <w:t>Bloomberg</w:t>
      </w:r>
      <w:r w:rsidR="007C0161" w:rsidRPr="00511443">
        <w:rPr>
          <w:sz w:val="22"/>
          <w:szCs w:val="22"/>
        </w:rPr>
        <w:t xml:space="preserve"> - в порядке приоритета </w:t>
      </w:r>
      <w:r w:rsidR="00B8320F" w:rsidRPr="00511443">
        <w:rPr>
          <w:sz w:val="22"/>
          <w:szCs w:val="22"/>
          <w:lang w:val="en-US"/>
        </w:rPr>
        <w:t>bloomberg</w:t>
      </w:r>
      <w:r w:rsidR="00B8320F" w:rsidRPr="00511443">
        <w:rPr>
          <w:sz w:val="22"/>
          <w:szCs w:val="22"/>
        </w:rPr>
        <w:t xml:space="preserve"> </w:t>
      </w:r>
      <w:r w:rsidR="007C0161" w:rsidRPr="00511443">
        <w:rPr>
          <w:sz w:val="22"/>
          <w:szCs w:val="22"/>
          <w:lang w:val="en-US"/>
        </w:rPr>
        <w:t>last</w:t>
      </w:r>
      <w:r w:rsidR="007C0161" w:rsidRPr="00511443">
        <w:rPr>
          <w:sz w:val="22"/>
          <w:szCs w:val="22"/>
        </w:rPr>
        <w:t xml:space="preserve">, </w:t>
      </w:r>
      <w:r w:rsidR="007C0161" w:rsidRPr="00511443">
        <w:rPr>
          <w:sz w:val="22"/>
          <w:szCs w:val="22"/>
          <w:lang w:val="en-US"/>
        </w:rPr>
        <w:t>bid</w:t>
      </w:r>
      <w:r w:rsidR="00587741">
        <w:rPr>
          <w:sz w:val="22"/>
          <w:szCs w:val="22"/>
        </w:rPr>
        <w:t>;</w:t>
      </w:r>
    </w:p>
    <w:p w14:paraId="65675B99" w14:textId="77777777" w:rsidR="003003E8" w:rsidRDefault="00B058BF" w:rsidP="00AB1CDF">
      <w:pPr>
        <w:pStyle w:val="a3"/>
        <w:numPr>
          <w:ilvl w:val="3"/>
          <w:numId w:val="14"/>
        </w:numPr>
        <w:spacing w:after="120"/>
        <w:ind w:left="851" w:hanging="851"/>
        <w:contextualSpacing w:val="0"/>
        <w:jc w:val="both"/>
        <w:rPr>
          <w:sz w:val="22"/>
          <w:szCs w:val="22"/>
        </w:rPr>
      </w:pPr>
      <w:r w:rsidRPr="003003E8">
        <w:rPr>
          <w:sz w:val="22"/>
          <w:szCs w:val="22"/>
        </w:rPr>
        <w:t>оценочная стоимость инвестиционного пая российского паевого инвестиционного фонда, не допущенного к торгам</w:t>
      </w:r>
      <w:r w:rsidR="00886873" w:rsidRPr="003003E8">
        <w:rPr>
          <w:sz w:val="22"/>
          <w:szCs w:val="22"/>
        </w:rPr>
        <w:t xml:space="preserve"> на ПАО «Московская Биржа ММВБ-РТС</w:t>
      </w:r>
      <w:r w:rsidR="00043B3C">
        <w:rPr>
          <w:sz w:val="22"/>
          <w:szCs w:val="22"/>
        </w:rPr>
        <w:t>»</w:t>
      </w:r>
      <w:r w:rsidR="00886873" w:rsidRPr="003003E8">
        <w:rPr>
          <w:sz w:val="22"/>
          <w:szCs w:val="22"/>
        </w:rPr>
        <w:t xml:space="preserve"> и ПАО «СПБ Биржа»</w:t>
      </w:r>
      <w:r w:rsidRPr="003003E8">
        <w:rPr>
          <w:sz w:val="22"/>
          <w:szCs w:val="22"/>
        </w:rPr>
        <w:t>, признается равной его расчетной стоимости на дату определения оценочной стоимости, публикуемой на сайте управляющей компании этого паевого инвестиционного фонда. А если на дату определения оценочной стоимости расчетная стоимость инвестиционного пая не определялась – на последнюю дату ее расчета, предшествующую дате определения оценочной стоимости</w:t>
      </w:r>
      <w:r w:rsidR="00B8320F" w:rsidRPr="003003E8">
        <w:rPr>
          <w:sz w:val="22"/>
          <w:szCs w:val="22"/>
        </w:rPr>
        <w:t>;</w:t>
      </w:r>
    </w:p>
    <w:p w14:paraId="4931E555" w14:textId="2FC9522B" w:rsidR="00511443" w:rsidRDefault="001C6750" w:rsidP="00AB1CDF">
      <w:pPr>
        <w:pStyle w:val="a3"/>
        <w:numPr>
          <w:ilvl w:val="3"/>
          <w:numId w:val="14"/>
        </w:numPr>
        <w:spacing w:after="120"/>
        <w:ind w:left="851" w:hanging="851"/>
        <w:contextualSpacing w:val="0"/>
        <w:jc w:val="both"/>
        <w:rPr>
          <w:sz w:val="22"/>
          <w:szCs w:val="22"/>
        </w:rPr>
      </w:pPr>
      <w:r w:rsidRPr="003003E8">
        <w:rPr>
          <w:sz w:val="22"/>
          <w:szCs w:val="22"/>
        </w:rPr>
        <w:t xml:space="preserve">оценочная стоимость </w:t>
      </w:r>
      <w:r w:rsidR="00B058BF" w:rsidRPr="003003E8">
        <w:rPr>
          <w:sz w:val="22"/>
          <w:szCs w:val="22"/>
        </w:rPr>
        <w:t xml:space="preserve">для акций и паев иностранных эмитентов, депозитарных расписок, </w:t>
      </w:r>
      <w:r w:rsidRPr="003003E8">
        <w:rPr>
          <w:sz w:val="22"/>
          <w:szCs w:val="22"/>
        </w:rPr>
        <w:t xml:space="preserve">информация о которых доступна </w:t>
      </w:r>
      <w:r w:rsidR="00B058BF" w:rsidRPr="003003E8">
        <w:rPr>
          <w:sz w:val="22"/>
          <w:szCs w:val="22"/>
        </w:rPr>
        <w:t xml:space="preserve">в информационной системе </w:t>
      </w:r>
      <w:r w:rsidR="00B8320F" w:rsidRPr="003003E8">
        <w:rPr>
          <w:sz w:val="22"/>
          <w:szCs w:val="22"/>
          <w:lang w:val="en-US"/>
        </w:rPr>
        <w:t>CBONDS</w:t>
      </w:r>
      <w:r w:rsidR="00B058BF" w:rsidRPr="003003E8">
        <w:rPr>
          <w:sz w:val="22"/>
          <w:szCs w:val="22"/>
        </w:rPr>
        <w:t>, - в порядке приоритета  last_price (цена закрытия), avar_price (средневзвешенная), buying_quote (бид)</w:t>
      </w:r>
      <w:r w:rsidR="000243C0">
        <w:rPr>
          <w:sz w:val="22"/>
          <w:szCs w:val="22"/>
        </w:rPr>
        <w:t>.</w:t>
      </w:r>
    </w:p>
    <w:p w14:paraId="1A37C52C" w14:textId="77777777" w:rsidR="00587741" w:rsidRDefault="00587741" w:rsidP="00AB1CDF">
      <w:pPr>
        <w:pStyle w:val="a3"/>
        <w:numPr>
          <w:ilvl w:val="2"/>
          <w:numId w:val="14"/>
        </w:numPr>
        <w:spacing w:after="120" w:line="259" w:lineRule="auto"/>
        <w:ind w:left="567" w:hanging="567"/>
        <w:contextualSpacing w:val="0"/>
        <w:jc w:val="both"/>
        <w:rPr>
          <w:sz w:val="22"/>
          <w:szCs w:val="22"/>
        </w:rPr>
      </w:pPr>
      <w:r>
        <w:rPr>
          <w:sz w:val="22"/>
          <w:szCs w:val="22"/>
        </w:rPr>
        <w:t>Купонные облигации российских эмитентов, номинированные в рублях и иностранной валюте, в том числе облигации внешних облигационных займов Российской Федерации, а также облигации иностранных эмитентов:</w:t>
      </w:r>
    </w:p>
    <w:p w14:paraId="6893F3E9" w14:textId="77777777" w:rsidR="00587741" w:rsidRPr="00587741" w:rsidRDefault="00587741" w:rsidP="00AB1CDF">
      <w:pPr>
        <w:pStyle w:val="a3"/>
        <w:numPr>
          <w:ilvl w:val="3"/>
          <w:numId w:val="14"/>
        </w:numPr>
        <w:spacing w:after="120"/>
        <w:ind w:left="851" w:hanging="851"/>
        <w:contextualSpacing w:val="0"/>
        <w:jc w:val="both"/>
        <w:rPr>
          <w:sz w:val="22"/>
          <w:szCs w:val="22"/>
        </w:rPr>
      </w:pPr>
      <w:r>
        <w:rPr>
          <w:sz w:val="22"/>
          <w:szCs w:val="22"/>
        </w:rPr>
        <w:t xml:space="preserve">оценочная стоимость </w:t>
      </w:r>
      <w:r w:rsidR="002C648F" w:rsidRPr="00587741">
        <w:rPr>
          <w:sz w:val="22"/>
          <w:szCs w:val="22"/>
        </w:rPr>
        <w:t xml:space="preserve">купонных облигаций и облигаций иностранных эмитентов, допущенных к торгам на </w:t>
      </w:r>
      <w:r w:rsidR="00B8320F" w:rsidRPr="00587741">
        <w:rPr>
          <w:sz w:val="22"/>
          <w:szCs w:val="22"/>
        </w:rPr>
        <w:t>ПАО «Московская Биржа ММВБ-РТС</w:t>
      </w:r>
      <w:r w:rsidR="00043B3C">
        <w:rPr>
          <w:sz w:val="22"/>
          <w:szCs w:val="22"/>
        </w:rPr>
        <w:t>»</w:t>
      </w:r>
      <w:r w:rsidR="002E471C" w:rsidRPr="00587741">
        <w:rPr>
          <w:sz w:val="22"/>
          <w:szCs w:val="22"/>
        </w:rPr>
        <w:t>,</w:t>
      </w:r>
      <w:r w:rsidR="00B8320F" w:rsidRPr="00587741">
        <w:rPr>
          <w:sz w:val="22"/>
          <w:szCs w:val="22"/>
        </w:rPr>
        <w:t xml:space="preserve"> </w:t>
      </w:r>
      <w:r w:rsidR="002C648F" w:rsidRPr="00587741">
        <w:rPr>
          <w:sz w:val="22"/>
          <w:szCs w:val="22"/>
        </w:rPr>
        <w:t>- по рыночной цене</w:t>
      </w:r>
      <w:r w:rsidR="00B8320F" w:rsidRPr="00587741">
        <w:rPr>
          <w:sz w:val="22"/>
          <w:szCs w:val="22"/>
        </w:rPr>
        <w:t xml:space="preserve"> </w:t>
      </w:r>
      <w:r w:rsidR="00B8320F" w:rsidRPr="00587741">
        <w:rPr>
          <w:sz w:val="22"/>
          <w:szCs w:val="22"/>
          <w:lang w:val="en-US"/>
        </w:rPr>
        <w:t>marketprice</w:t>
      </w:r>
      <w:r w:rsidR="00B8320F" w:rsidRPr="00587741">
        <w:rPr>
          <w:sz w:val="22"/>
          <w:szCs w:val="22"/>
        </w:rPr>
        <w:t xml:space="preserve">3 </w:t>
      </w:r>
      <w:r w:rsidR="002C648F" w:rsidRPr="00587741">
        <w:rPr>
          <w:sz w:val="22"/>
          <w:szCs w:val="22"/>
        </w:rPr>
        <w:t>и увеличенной на величину накопленного купонного дохода, рассчитанную на дату определения рыночной стоимости, исходя из купонной ставки по соответствующему выпуску облигации, установленной на текущий купонный период, и, в случае отсутствия рыночной цены по итогам торгового дня, по средневзвешенной цене по итогам торгового дня, увеличенной на величину купонного дохода, рассчитанную на дату проведения оценки, исходя из купонной ставки по соответствующему выпуску облигации, установлен</w:t>
      </w:r>
      <w:r w:rsidR="00B8320F" w:rsidRPr="00587741">
        <w:rPr>
          <w:sz w:val="22"/>
          <w:szCs w:val="22"/>
        </w:rPr>
        <w:t>ной на текущий купонный период;</w:t>
      </w:r>
    </w:p>
    <w:p w14:paraId="0F012410" w14:textId="77777777" w:rsidR="00587741" w:rsidRDefault="00587741" w:rsidP="00AB1CDF">
      <w:pPr>
        <w:pStyle w:val="a3"/>
        <w:numPr>
          <w:ilvl w:val="3"/>
          <w:numId w:val="14"/>
        </w:numPr>
        <w:spacing w:after="120"/>
        <w:ind w:left="851" w:hanging="851"/>
        <w:contextualSpacing w:val="0"/>
        <w:jc w:val="both"/>
        <w:rPr>
          <w:sz w:val="22"/>
          <w:szCs w:val="22"/>
        </w:rPr>
      </w:pPr>
      <w:r>
        <w:rPr>
          <w:sz w:val="22"/>
          <w:szCs w:val="22"/>
        </w:rPr>
        <w:t xml:space="preserve">оценочная стоимость </w:t>
      </w:r>
      <w:r w:rsidR="00B8320F" w:rsidRPr="00587741">
        <w:rPr>
          <w:sz w:val="22"/>
          <w:szCs w:val="22"/>
        </w:rPr>
        <w:t>купонных облигаций и облигаций иностранных эмитентов, допущенных к торгам на ПАО «СПБ Биржа»</w:t>
      </w:r>
      <w:r w:rsidR="002E471C" w:rsidRPr="00587741">
        <w:rPr>
          <w:sz w:val="22"/>
          <w:szCs w:val="22"/>
        </w:rPr>
        <w:t>,</w:t>
      </w:r>
      <w:r w:rsidR="00B8320F" w:rsidRPr="00587741">
        <w:rPr>
          <w:sz w:val="22"/>
          <w:szCs w:val="22"/>
        </w:rPr>
        <w:t xml:space="preserve"> - по рыночной цене </w:t>
      </w:r>
      <w:r w:rsidR="00B8320F" w:rsidRPr="00587741">
        <w:rPr>
          <w:sz w:val="22"/>
          <w:szCs w:val="22"/>
          <w:lang w:val="en-US"/>
        </w:rPr>
        <w:t>marketprice</w:t>
      </w:r>
      <w:r w:rsidR="00B8320F" w:rsidRPr="00587741">
        <w:rPr>
          <w:sz w:val="22"/>
          <w:szCs w:val="22"/>
        </w:rPr>
        <w:t xml:space="preserve">3 и увеличенной на величину накопленного купонного дохода, рассчитанную на дату определения рыночной стоимости, исходя из купонной ставки по соответствующему выпуску облигации, установленной на текущий купонный период, и, в случае отсутствия рыночной цены по итогам торгового дня, по средневзвешенной цене по итогам торгового дня, увеличенной на величину купонного дохода, рассчитанную на дату проведения оценки, исходя из купонной ставки по соответствующему выпуску облигации, установленной на текущий купонный период; </w:t>
      </w:r>
    </w:p>
    <w:p w14:paraId="39D13B4D" w14:textId="17A7DC98" w:rsidR="00043B3C" w:rsidRPr="00587741" w:rsidRDefault="00043B3C" w:rsidP="00AB1CDF">
      <w:pPr>
        <w:pStyle w:val="a3"/>
        <w:numPr>
          <w:ilvl w:val="3"/>
          <w:numId w:val="14"/>
        </w:numPr>
        <w:spacing w:after="120"/>
        <w:ind w:left="851" w:hanging="851"/>
        <w:contextualSpacing w:val="0"/>
        <w:jc w:val="both"/>
        <w:rPr>
          <w:sz w:val="22"/>
          <w:szCs w:val="22"/>
        </w:rPr>
      </w:pPr>
      <w:r>
        <w:rPr>
          <w:sz w:val="22"/>
          <w:szCs w:val="22"/>
        </w:rPr>
        <w:t>оценочная стоимость купонных облигаций российских</w:t>
      </w:r>
      <w:r w:rsidR="00A41887">
        <w:rPr>
          <w:sz w:val="22"/>
          <w:szCs w:val="22"/>
        </w:rPr>
        <w:t xml:space="preserve"> и иностранных</w:t>
      </w:r>
      <w:r>
        <w:rPr>
          <w:sz w:val="22"/>
          <w:szCs w:val="22"/>
        </w:rPr>
        <w:t xml:space="preserve"> эмитентов, не допущенных к торгам на ПАО «Московская Биржа ММВБ-РТС» и ПАО «СПБ </w:t>
      </w:r>
      <w:r>
        <w:rPr>
          <w:sz w:val="22"/>
          <w:szCs w:val="22"/>
        </w:rPr>
        <w:lastRenderedPageBreak/>
        <w:t xml:space="preserve">Биржа», и информация по которым доступна в системах </w:t>
      </w:r>
      <w:r>
        <w:rPr>
          <w:sz w:val="22"/>
          <w:szCs w:val="22"/>
          <w:lang w:val="en-US"/>
        </w:rPr>
        <w:t>OTC</w:t>
      </w:r>
      <w:r>
        <w:rPr>
          <w:sz w:val="22"/>
          <w:szCs w:val="22"/>
        </w:rPr>
        <w:t xml:space="preserve"> </w:t>
      </w:r>
      <w:r w:rsidR="00A41887">
        <w:rPr>
          <w:sz w:val="22"/>
          <w:szCs w:val="22"/>
        </w:rPr>
        <w:t xml:space="preserve">или внебиржевой отчётности </w:t>
      </w:r>
      <w:r>
        <w:rPr>
          <w:sz w:val="22"/>
          <w:szCs w:val="22"/>
        </w:rPr>
        <w:t xml:space="preserve">соответствующей биржи, по </w:t>
      </w:r>
      <w:r w:rsidR="004F53D1">
        <w:rPr>
          <w:sz w:val="22"/>
          <w:szCs w:val="22"/>
        </w:rPr>
        <w:t>средневзвешенной цене</w:t>
      </w:r>
      <w:r>
        <w:rPr>
          <w:sz w:val="22"/>
          <w:szCs w:val="22"/>
        </w:rPr>
        <w:t>.</w:t>
      </w:r>
    </w:p>
    <w:p w14:paraId="2ADCC95F" w14:textId="77777777" w:rsidR="00D35D93" w:rsidRPr="00587741" w:rsidRDefault="00587741" w:rsidP="00AB1CDF">
      <w:pPr>
        <w:pStyle w:val="a3"/>
        <w:numPr>
          <w:ilvl w:val="3"/>
          <w:numId w:val="14"/>
        </w:numPr>
        <w:spacing w:after="120"/>
        <w:ind w:left="851" w:hanging="851"/>
        <w:contextualSpacing w:val="0"/>
        <w:jc w:val="both"/>
        <w:rPr>
          <w:sz w:val="22"/>
          <w:szCs w:val="22"/>
        </w:rPr>
      </w:pPr>
      <w:r>
        <w:rPr>
          <w:sz w:val="22"/>
          <w:szCs w:val="22"/>
        </w:rPr>
        <w:t xml:space="preserve">оценочная стоимость </w:t>
      </w:r>
      <w:r w:rsidR="00B8320F" w:rsidRPr="00587741">
        <w:rPr>
          <w:sz w:val="22"/>
          <w:szCs w:val="22"/>
        </w:rPr>
        <w:t>облигаций</w:t>
      </w:r>
      <w:r>
        <w:rPr>
          <w:sz w:val="22"/>
          <w:szCs w:val="22"/>
        </w:rPr>
        <w:t xml:space="preserve"> иностранных эмитентов</w:t>
      </w:r>
      <w:r w:rsidR="002C648F" w:rsidRPr="00587741">
        <w:rPr>
          <w:sz w:val="22"/>
          <w:szCs w:val="22"/>
        </w:rPr>
        <w:t xml:space="preserve">, </w:t>
      </w:r>
      <w:r w:rsidR="00B8320F" w:rsidRPr="00587741">
        <w:rPr>
          <w:sz w:val="22"/>
          <w:szCs w:val="22"/>
        </w:rPr>
        <w:t xml:space="preserve">не допущенных к торгам на ПАО «Московская Биржа ММВБ-РТС и  ПАО «СПБ Биржа», и </w:t>
      </w:r>
      <w:r w:rsidR="00D35D93">
        <w:rPr>
          <w:sz w:val="22"/>
          <w:szCs w:val="22"/>
        </w:rPr>
        <w:t>информация о которых доступна</w:t>
      </w:r>
      <w:r w:rsidR="00D35D93" w:rsidRPr="00587741">
        <w:rPr>
          <w:sz w:val="22"/>
          <w:szCs w:val="22"/>
        </w:rPr>
        <w:t xml:space="preserve"> </w:t>
      </w:r>
      <w:r w:rsidR="00B8320F" w:rsidRPr="00587741">
        <w:rPr>
          <w:sz w:val="22"/>
          <w:szCs w:val="22"/>
        </w:rPr>
        <w:t xml:space="preserve">в </w:t>
      </w:r>
      <w:r w:rsidR="00D35D93">
        <w:rPr>
          <w:sz w:val="22"/>
          <w:szCs w:val="22"/>
        </w:rPr>
        <w:t xml:space="preserve">информационной </w:t>
      </w:r>
      <w:r w:rsidR="00B8320F" w:rsidRPr="00587741">
        <w:rPr>
          <w:sz w:val="22"/>
          <w:szCs w:val="22"/>
        </w:rPr>
        <w:t xml:space="preserve">системе </w:t>
      </w:r>
      <w:r w:rsidR="00B8320F" w:rsidRPr="00587741">
        <w:rPr>
          <w:sz w:val="22"/>
          <w:szCs w:val="22"/>
          <w:lang w:val="en-US"/>
        </w:rPr>
        <w:t>Bloomberg</w:t>
      </w:r>
      <w:r w:rsidR="002E471C" w:rsidRPr="00587741">
        <w:rPr>
          <w:sz w:val="22"/>
          <w:szCs w:val="22"/>
        </w:rPr>
        <w:t>,</w:t>
      </w:r>
      <w:r w:rsidR="00B8320F" w:rsidRPr="00587741">
        <w:rPr>
          <w:sz w:val="22"/>
          <w:szCs w:val="22"/>
        </w:rPr>
        <w:t xml:space="preserve"> используется цен</w:t>
      </w:r>
      <w:r w:rsidR="0016536F" w:rsidRPr="00587741">
        <w:rPr>
          <w:sz w:val="22"/>
          <w:szCs w:val="22"/>
        </w:rPr>
        <w:t>а</w:t>
      </w:r>
      <w:r w:rsidR="00B8320F" w:rsidRPr="00587741">
        <w:rPr>
          <w:sz w:val="22"/>
          <w:szCs w:val="22"/>
        </w:rPr>
        <w:t xml:space="preserve"> в соответствии с приоритетом </w:t>
      </w:r>
      <w:r w:rsidR="00B8320F" w:rsidRPr="00587741">
        <w:rPr>
          <w:sz w:val="22"/>
          <w:szCs w:val="22"/>
          <w:lang w:val="en-US"/>
        </w:rPr>
        <w:t>bloomberg</w:t>
      </w:r>
      <w:r w:rsidR="00B8320F" w:rsidRPr="00587741">
        <w:rPr>
          <w:sz w:val="22"/>
          <w:szCs w:val="22"/>
        </w:rPr>
        <w:t xml:space="preserve"> </w:t>
      </w:r>
      <w:r w:rsidR="00B8320F" w:rsidRPr="00587741">
        <w:rPr>
          <w:sz w:val="22"/>
          <w:szCs w:val="22"/>
          <w:lang w:val="en-US"/>
        </w:rPr>
        <w:t>last</w:t>
      </w:r>
      <w:r w:rsidR="00B8320F" w:rsidRPr="00587741">
        <w:rPr>
          <w:sz w:val="22"/>
          <w:szCs w:val="22"/>
        </w:rPr>
        <w:t xml:space="preserve">, </w:t>
      </w:r>
      <w:r w:rsidR="00B8320F" w:rsidRPr="00587741">
        <w:rPr>
          <w:sz w:val="22"/>
          <w:szCs w:val="22"/>
          <w:lang w:val="en-US"/>
        </w:rPr>
        <w:t>bid</w:t>
      </w:r>
      <w:r w:rsidR="00B8320F" w:rsidRPr="00587741">
        <w:rPr>
          <w:sz w:val="22"/>
          <w:szCs w:val="22"/>
        </w:rPr>
        <w:t>;</w:t>
      </w:r>
    </w:p>
    <w:p w14:paraId="73261787" w14:textId="77777777" w:rsidR="00D35D93" w:rsidRPr="00D35D93" w:rsidRDefault="00D35D93" w:rsidP="00AB1CDF">
      <w:pPr>
        <w:pStyle w:val="a3"/>
        <w:numPr>
          <w:ilvl w:val="3"/>
          <w:numId w:val="14"/>
        </w:numPr>
        <w:spacing w:after="120"/>
        <w:ind w:left="851" w:hanging="851"/>
        <w:contextualSpacing w:val="0"/>
        <w:jc w:val="both"/>
        <w:rPr>
          <w:sz w:val="22"/>
          <w:szCs w:val="22"/>
        </w:rPr>
      </w:pPr>
      <w:r>
        <w:rPr>
          <w:sz w:val="22"/>
          <w:szCs w:val="22"/>
        </w:rPr>
        <w:t xml:space="preserve">оценочная стоимость </w:t>
      </w:r>
      <w:r w:rsidR="00B8320F" w:rsidRPr="00D35D93">
        <w:rPr>
          <w:sz w:val="22"/>
          <w:szCs w:val="22"/>
        </w:rPr>
        <w:t>облигаций</w:t>
      </w:r>
      <w:r>
        <w:rPr>
          <w:sz w:val="22"/>
          <w:szCs w:val="22"/>
        </w:rPr>
        <w:t xml:space="preserve"> иностранных эмитентов</w:t>
      </w:r>
      <w:r w:rsidR="00B8320F" w:rsidRPr="00D35D93">
        <w:rPr>
          <w:sz w:val="22"/>
          <w:szCs w:val="22"/>
        </w:rPr>
        <w:t xml:space="preserve">, не допущенных к торгам на ПАО «Московская Биржа ММВБ-РТС и  ПАО «СПБ Биржа», и </w:t>
      </w:r>
      <w:r>
        <w:rPr>
          <w:sz w:val="22"/>
          <w:szCs w:val="22"/>
        </w:rPr>
        <w:t xml:space="preserve">информация о которых доступна </w:t>
      </w:r>
      <w:r w:rsidR="00B8320F" w:rsidRPr="00D35D93">
        <w:rPr>
          <w:sz w:val="22"/>
          <w:szCs w:val="22"/>
        </w:rPr>
        <w:t xml:space="preserve">в </w:t>
      </w:r>
      <w:r>
        <w:rPr>
          <w:sz w:val="22"/>
          <w:szCs w:val="22"/>
        </w:rPr>
        <w:t xml:space="preserve">информационной </w:t>
      </w:r>
      <w:r w:rsidR="00B8320F" w:rsidRPr="00D35D93">
        <w:rPr>
          <w:sz w:val="22"/>
          <w:szCs w:val="22"/>
        </w:rPr>
        <w:t>системе С</w:t>
      </w:r>
      <w:r w:rsidR="00B8320F" w:rsidRPr="00D35D93">
        <w:rPr>
          <w:sz w:val="22"/>
          <w:szCs w:val="22"/>
          <w:lang w:val="en-US"/>
        </w:rPr>
        <w:t>BONDS</w:t>
      </w:r>
      <w:r w:rsidR="002E471C" w:rsidRPr="00D35D93">
        <w:rPr>
          <w:sz w:val="22"/>
          <w:szCs w:val="22"/>
        </w:rPr>
        <w:t>,</w:t>
      </w:r>
      <w:r w:rsidR="00B8320F" w:rsidRPr="00D35D93">
        <w:rPr>
          <w:sz w:val="22"/>
          <w:szCs w:val="22"/>
        </w:rPr>
        <w:t xml:space="preserve"> используется цена, рассчит</w:t>
      </w:r>
      <w:r w:rsidR="004D2AE8" w:rsidRPr="00D35D93">
        <w:rPr>
          <w:sz w:val="22"/>
          <w:szCs w:val="22"/>
        </w:rPr>
        <w:t xml:space="preserve">анная в соответствии с методиками </w:t>
      </w:r>
      <w:r w:rsidR="004D2AE8" w:rsidRPr="00D35D93">
        <w:rPr>
          <w:sz w:val="22"/>
          <w:szCs w:val="22"/>
          <w:lang w:val="en-US"/>
        </w:rPr>
        <w:t>Cbonds</w:t>
      </w:r>
      <w:r w:rsidR="004D2AE8" w:rsidRPr="00D35D93">
        <w:rPr>
          <w:sz w:val="22"/>
          <w:szCs w:val="22"/>
        </w:rPr>
        <w:t xml:space="preserve"> </w:t>
      </w:r>
      <w:r w:rsidR="004D2AE8" w:rsidRPr="00D35D93">
        <w:rPr>
          <w:sz w:val="22"/>
          <w:szCs w:val="22"/>
          <w:lang w:val="en-US"/>
        </w:rPr>
        <w:t>Estimation</w:t>
      </w:r>
      <w:r w:rsidR="004D2AE8" w:rsidRPr="00D35D93">
        <w:rPr>
          <w:sz w:val="22"/>
          <w:szCs w:val="22"/>
        </w:rPr>
        <w:t xml:space="preserve"> и</w:t>
      </w:r>
      <w:r w:rsidR="00B8320F" w:rsidRPr="00D35D93">
        <w:rPr>
          <w:sz w:val="22"/>
          <w:szCs w:val="22"/>
        </w:rPr>
        <w:t xml:space="preserve"> Cbonds_Valuation;</w:t>
      </w:r>
    </w:p>
    <w:p w14:paraId="176183F7" w14:textId="77777777" w:rsidR="00B8320F" w:rsidRDefault="00D35D93" w:rsidP="00AB1CDF">
      <w:pPr>
        <w:pStyle w:val="a3"/>
        <w:numPr>
          <w:ilvl w:val="3"/>
          <w:numId w:val="14"/>
        </w:numPr>
        <w:spacing w:after="120"/>
        <w:ind w:left="851" w:hanging="851"/>
        <w:contextualSpacing w:val="0"/>
        <w:jc w:val="both"/>
        <w:rPr>
          <w:sz w:val="22"/>
          <w:szCs w:val="22"/>
        </w:rPr>
      </w:pPr>
      <w:r>
        <w:rPr>
          <w:sz w:val="22"/>
          <w:szCs w:val="22"/>
        </w:rPr>
        <w:t xml:space="preserve">оценочная стоимость </w:t>
      </w:r>
      <w:r w:rsidR="00B8320F" w:rsidRPr="00D35D93">
        <w:rPr>
          <w:sz w:val="22"/>
          <w:szCs w:val="22"/>
        </w:rPr>
        <w:t>облигаций</w:t>
      </w:r>
      <w:r>
        <w:rPr>
          <w:sz w:val="22"/>
          <w:szCs w:val="22"/>
        </w:rPr>
        <w:t xml:space="preserve"> иностранных эмитентов</w:t>
      </w:r>
      <w:r w:rsidR="00B8320F" w:rsidRPr="00D35D93">
        <w:rPr>
          <w:sz w:val="22"/>
          <w:szCs w:val="22"/>
        </w:rPr>
        <w:t xml:space="preserve">, не допущенных к торгам на ПАО «Московская Биржа ММВБ-РТС и  ПАО «СПБ Биржа», и </w:t>
      </w:r>
      <w:r>
        <w:rPr>
          <w:sz w:val="22"/>
          <w:szCs w:val="22"/>
        </w:rPr>
        <w:t xml:space="preserve">информация о которых доступна </w:t>
      </w:r>
      <w:r w:rsidR="00B8320F" w:rsidRPr="00D35D93">
        <w:rPr>
          <w:sz w:val="22"/>
          <w:szCs w:val="22"/>
        </w:rPr>
        <w:t xml:space="preserve">в </w:t>
      </w:r>
      <w:r>
        <w:rPr>
          <w:sz w:val="22"/>
          <w:szCs w:val="22"/>
        </w:rPr>
        <w:t xml:space="preserve">информационной </w:t>
      </w:r>
      <w:r w:rsidR="00B8320F" w:rsidRPr="00D35D93">
        <w:rPr>
          <w:sz w:val="22"/>
          <w:szCs w:val="22"/>
        </w:rPr>
        <w:t xml:space="preserve">системе </w:t>
      </w:r>
      <w:r w:rsidR="00B8320F" w:rsidRPr="00D35D93">
        <w:rPr>
          <w:sz w:val="22"/>
          <w:szCs w:val="22"/>
          <w:lang w:val="en-US"/>
        </w:rPr>
        <w:t>RU</w:t>
      </w:r>
      <w:r w:rsidR="00B8320F" w:rsidRPr="00D35D93">
        <w:rPr>
          <w:sz w:val="22"/>
          <w:szCs w:val="22"/>
        </w:rPr>
        <w:t xml:space="preserve"> </w:t>
      </w:r>
      <w:r w:rsidR="00B8320F" w:rsidRPr="00D35D93">
        <w:rPr>
          <w:sz w:val="22"/>
          <w:szCs w:val="22"/>
          <w:lang w:val="en-US"/>
        </w:rPr>
        <w:t>DATA</w:t>
      </w:r>
      <w:r w:rsidR="002E471C" w:rsidRPr="00D35D93">
        <w:rPr>
          <w:sz w:val="22"/>
          <w:szCs w:val="22"/>
        </w:rPr>
        <w:t>,</w:t>
      </w:r>
      <w:r w:rsidR="00B8320F" w:rsidRPr="00D35D93">
        <w:rPr>
          <w:sz w:val="22"/>
          <w:szCs w:val="22"/>
        </w:rPr>
        <w:t xml:space="preserve"> используются индексные цены, рассчитанные в соответствии с методикой </w:t>
      </w:r>
      <w:r w:rsidR="00B8320F" w:rsidRPr="00D35D93">
        <w:rPr>
          <w:color w:val="30373F"/>
        </w:rPr>
        <w:t>RUDIP</w:t>
      </w:r>
      <w:r w:rsidR="000243C0">
        <w:rPr>
          <w:sz w:val="22"/>
          <w:szCs w:val="22"/>
        </w:rPr>
        <w:t>.</w:t>
      </w:r>
    </w:p>
    <w:p w14:paraId="13106031" w14:textId="77777777" w:rsidR="00D35D93" w:rsidRDefault="00D35D93" w:rsidP="00AB1CDF">
      <w:pPr>
        <w:pStyle w:val="a3"/>
        <w:numPr>
          <w:ilvl w:val="2"/>
          <w:numId w:val="14"/>
        </w:numPr>
        <w:spacing w:after="120"/>
        <w:ind w:left="567" w:hanging="567"/>
        <w:contextualSpacing w:val="0"/>
        <w:jc w:val="both"/>
        <w:rPr>
          <w:sz w:val="22"/>
          <w:szCs w:val="22"/>
        </w:rPr>
      </w:pPr>
      <w:r>
        <w:rPr>
          <w:sz w:val="22"/>
          <w:szCs w:val="22"/>
        </w:rPr>
        <w:t>Структурные ноты</w:t>
      </w:r>
    </w:p>
    <w:p w14:paraId="7646F9E2" w14:textId="77777777" w:rsidR="000243C0" w:rsidRDefault="00D35D93" w:rsidP="00D35D93">
      <w:pPr>
        <w:pStyle w:val="a3"/>
        <w:numPr>
          <w:ilvl w:val="3"/>
          <w:numId w:val="14"/>
        </w:numPr>
        <w:spacing w:after="120"/>
        <w:ind w:left="851" w:hanging="851"/>
        <w:contextualSpacing w:val="0"/>
        <w:jc w:val="both"/>
        <w:rPr>
          <w:sz w:val="22"/>
          <w:szCs w:val="22"/>
        </w:rPr>
      </w:pPr>
      <w:r>
        <w:rPr>
          <w:sz w:val="22"/>
          <w:szCs w:val="22"/>
        </w:rPr>
        <w:t xml:space="preserve">оценочная стоимость структурных нот, информация о которых доступна в информационной системе </w:t>
      </w:r>
      <w:r>
        <w:rPr>
          <w:sz w:val="22"/>
          <w:szCs w:val="22"/>
          <w:lang w:val="en-US"/>
        </w:rPr>
        <w:t>Bloomberg</w:t>
      </w:r>
      <w:r w:rsidR="000243C0">
        <w:rPr>
          <w:sz w:val="22"/>
          <w:szCs w:val="22"/>
        </w:rPr>
        <w:t>,</w:t>
      </w:r>
      <w:r w:rsidR="000243C0" w:rsidRPr="000243C0">
        <w:rPr>
          <w:sz w:val="22"/>
          <w:szCs w:val="22"/>
        </w:rPr>
        <w:t xml:space="preserve"> </w:t>
      </w:r>
      <w:r w:rsidR="000243C0" w:rsidRPr="00587741">
        <w:rPr>
          <w:sz w:val="22"/>
          <w:szCs w:val="22"/>
        </w:rPr>
        <w:t xml:space="preserve">используется цена в соответствии с приоритетом </w:t>
      </w:r>
      <w:r w:rsidR="000243C0" w:rsidRPr="00587741">
        <w:rPr>
          <w:sz w:val="22"/>
          <w:szCs w:val="22"/>
          <w:lang w:val="en-US"/>
        </w:rPr>
        <w:t>bloomberg</w:t>
      </w:r>
      <w:r w:rsidR="000243C0" w:rsidRPr="00587741">
        <w:rPr>
          <w:sz w:val="22"/>
          <w:szCs w:val="22"/>
        </w:rPr>
        <w:t xml:space="preserve"> </w:t>
      </w:r>
      <w:r w:rsidR="000243C0" w:rsidRPr="00587741">
        <w:rPr>
          <w:sz w:val="22"/>
          <w:szCs w:val="22"/>
          <w:lang w:val="en-US"/>
        </w:rPr>
        <w:t>last</w:t>
      </w:r>
      <w:r w:rsidR="000243C0" w:rsidRPr="00587741">
        <w:rPr>
          <w:sz w:val="22"/>
          <w:szCs w:val="22"/>
        </w:rPr>
        <w:t xml:space="preserve">, </w:t>
      </w:r>
      <w:r w:rsidR="000243C0" w:rsidRPr="00587741">
        <w:rPr>
          <w:sz w:val="22"/>
          <w:szCs w:val="22"/>
          <w:lang w:val="en-US"/>
        </w:rPr>
        <w:t>bid</w:t>
      </w:r>
      <w:r w:rsidR="000243C0" w:rsidRPr="00587741">
        <w:rPr>
          <w:sz w:val="22"/>
          <w:szCs w:val="22"/>
        </w:rPr>
        <w:t>;</w:t>
      </w:r>
    </w:p>
    <w:p w14:paraId="1BED5B40" w14:textId="77777777" w:rsidR="00D35D93" w:rsidRDefault="000243C0" w:rsidP="00D35D93">
      <w:pPr>
        <w:pStyle w:val="a3"/>
        <w:numPr>
          <w:ilvl w:val="3"/>
          <w:numId w:val="14"/>
        </w:numPr>
        <w:spacing w:after="120"/>
        <w:ind w:left="851" w:hanging="851"/>
        <w:contextualSpacing w:val="0"/>
        <w:jc w:val="both"/>
        <w:rPr>
          <w:sz w:val="22"/>
          <w:szCs w:val="22"/>
        </w:rPr>
      </w:pPr>
      <w:r>
        <w:rPr>
          <w:sz w:val="22"/>
          <w:szCs w:val="22"/>
        </w:rPr>
        <w:t xml:space="preserve">при отсутствии информации в системе </w:t>
      </w:r>
      <w:r>
        <w:rPr>
          <w:sz w:val="22"/>
          <w:szCs w:val="22"/>
          <w:lang w:val="en-US"/>
        </w:rPr>
        <w:t>Bloomberg</w:t>
      </w:r>
      <w:r>
        <w:rPr>
          <w:sz w:val="22"/>
          <w:szCs w:val="22"/>
        </w:rPr>
        <w:t>, оценочная стоимость структурных нот определяется на основании данных из закрытых источников (контрагентов по сделкам с структурными нотами)</w:t>
      </w:r>
      <w:r w:rsidR="004F53D1">
        <w:rPr>
          <w:sz w:val="22"/>
          <w:szCs w:val="22"/>
        </w:rPr>
        <w:t>.</w:t>
      </w:r>
    </w:p>
    <w:p w14:paraId="7BD25B5F" w14:textId="616F748A" w:rsidR="00C1161B" w:rsidRDefault="00C1161B" w:rsidP="00C1161B">
      <w:pPr>
        <w:pStyle w:val="a3"/>
        <w:numPr>
          <w:ilvl w:val="2"/>
          <w:numId w:val="14"/>
        </w:numPr>
        <w:spacing w:after="120"/>
        <w:ind w:left="567" w:hanging="567"/>
        <w:contextualSpacing w:val="0"/>
        <w:jc w:val="both"/>
        <w:rPr>
          <w:sz w:val="22"/>
          <w:szCs w:val="22"/>
        </w:rPr>
      </w:pPr>
      <w:r>
        <w:rPr>
          <w:sz w:val="22"/>
          <w:szCs w:val="22"/>
        </w:rPr>
        <w:t xml:space="preserve">Оценочная стоимость </w:t>
      </w:r>
      <w:r w:rsidRPr="00B8320F">
        <w:rPr>
          <w:sz w:val="22"/>
          <w:szCs w:val="22"/>
        </w:rPr>
        <w:t>эмиссионных ценных бумаг,</w:t>
      </w:r>
      <w:r>
        <w:rPr>
          <w:sz w:val="22"/>
          <w:szCs w:val="22"/>
        </w:rPr>
        <w:t xml:space="preserve"> указанных в п.п. 2.6.3. – 2.6.5.,</w:t>
      </w:r>
      <w:r w:rsidRPr="00B8320F">
        <w:rPr>
          <w:sz w:val="22"/>
          <w:szCs w:val="22"/>
        </w:rPr>
        <w:t xml:space="preserve"> не допущенным к торгам на дату определения оценочной стоимости - по цене приобретения</w:t>
      </w:r>
      <w:r>
        <w:rPr>
          <w:sz w:val="22"/>
          <w:szCs w:val="22"/>
        </w:rPr>
        <w:t xml:space="preserve"> в случае, если ранее Управляющим не определялась оценочная стоимость данной ценной бумаги</w:t>
      </w:r>
      <w:r w:rsidR="00A41887">
        <w:rPr>
          <w:sz w:val="22"/>
          <w:szCs w:val="22"/>
        </w:rPr>
        <w:t>.</w:t>
      </w:r>
    </w:p>
    <w:p w14:paraId="50084365" w14:textId="7107CC0C" w:rsidR="00C1161B" w:rsidRDefault="00EE6E49" w:rsidP="00C1161B">
      <w:pPr>
        <w:pStyle w:val="a3"/>
        <w:numPr>
          <w:ilvl w:val="2"/>
          <w:numId w:val="14"/>
        </w:numPr>
        <w:spacing w:after="120"/>
        <w:ind w:left="567" w:hanging="567"/>
        <w:contextualSpacing w:val="0"/>
        <w:jc w:val="both"/>
        <w:rPr>
          <w:sz w:val="22"/>
          <w:szCs w:val="22"/>
        </w:rPr>
      </w:pPr>
      <w:r>
        <w:rPr>
          <w:sz w:val="22"/>
          <w:szCs w:val="22"/>
        </w:rPr>
        <w:t xml:space="preserve">Оценочная стоимость </w:t>
      </w:r>
      <w:r w:rsidR="00C1161B" w:rsidRPr="00C1161B">
        <w:rPr>
          <w:sz w:val="22"/>
          <w:szCs w:val="22"/>
        </w:rPr>
        <w:t>эмиссионных ценных бумаг, допущенным к торгам на дату определения оценочной стоимости и не имеющим рыночной цены   - по средней цене приобретения в случае, если Управляющий приобрел ценные бумаги при первичном размещении</w:t>
      </w:r>
      <w:r w:rsidR="00A41887">
        <w:rPr>
          <w:sz w:val="22"/>
          <w:szCs w:val="22"/>
        </w:rPr>
        <w:t>.</w:t>
      </w:r>
    </w:p>
    <w:p w14:paraId="680E6B81" w14:textId="77777777" w:rsidR="00C1161B" w:rsidRPr="00C1161B" w:rsidRDefault="00EE6E49" w:rsidP="00C1161B">
      <w:pPr>
        <w:pStyle w:val="a3"/>
        <w:numPr>
          <w:ilvl w:val="2"/>
          <w:numId w:val="14"/>
        </w:numPr>
        <w:spacing w:after="120"/>
        <w:ind w:left="567" w:hanging="567"/>
        <w:contextualSpacing w:val="0"/>
        <w:jc w:val="both"/>
        <w:rPr>
          <w:sz w:val="22"/>
          <w:szCs w:val="22"/>
        </w:rPr>
      </w:pPr>
      <w:r>
        <w:rPr>
          <w:sz w:val="22"/>
          <w:szCs w:val="22"/>
        </w:rPr>
        <w:t>П</w:t>
      </w:r>
      <w:r w:rsidR="00C1161B" w:rsidRPr="00C1161B">
        <w:rPr>
          <w:sz w:val="22"/>
          <w:szCs w:val="22"/>
        </w:rPr>
        <w:t>ри отсутствии цен, определяемых в указанном выше порядке, оценочная стоимость ценной бумаги определяется исходя из ранее определенной цены Управляющим;</w:t>
      </w:r>
    </w:p>
    <w:p w14:paraId="0C3F30B3" w14:textId="77777777" w:rsidR="00D35D93" w:rsidRDefault="00EE6E49" w:rsidP="00D35D93">
      <w:pPr>
        <w:pStyle w:val="a3"/>
        <w:numPr>
          <w:ilvl w:val="2"/>
          <w:numId w:val="14"/>
        </w:numPr>
        <w:spacing w:after="120"/>
        <w:ind w:left="567" w:hanging="567"/>
        <w:contextualSpacing w:val="0"/>
        <w:jc w:val="both"/>
        <w:rPr>
          <w:sz w:val="22"/>
          <w:szCs w:val="22"/>
        </w:rPr>
      </w:pPr>
      <w:r>
        <w:rPr>
          <w:sz w:val="22"/>
          <w:szCs w:val="22"/>
        </w:rPr>
        <w:t>Оценочная стоимость и</w:t>
      </w:r>
      <w:r w:rsidR="000243C0">
        <w:rPr>
          <w:sz w:val="22"/>
          <w:szCs w:val="22"/>
        </w:rPr>
        <w:t>н</w:t>
      </w:r>
      <w:r>
        <w:rPr>
          <w:sz w:val="22"/>
          <w:szCs w:val="22"/>
        </w:rPr>
        <w:t>остранных финансовых инструментов, неквалифицированных</w:t>
      </w:r>
      <w:r w:rsidR="000243C0">
        <w:rPr>
          <w:sz w:val="22"/>
          <w:szCs w:val="22"/>
        </w:rPr>
        <w:t xml:space="preserve"> в качестве ценных бумаг</w:t>
      </w:r>
      <w:r w:rsidR="00841140">
        <w:rPr>
          <w:sz w:val="22"/>
          <w:szCs w:val="22"/>
        </w:rPr>
        <w:t xml:space="preserve">, если первая буква кода </w:t>
      </w:r>
      <w:r w:rsidR="00841140">
        <w:rPr>
          <w:sz w:val="22"/>
          <w:szCs w:val="22"/>
          <w:lang w:val="en-US"/>
        </w:rPr>
        <w:t>CFI</w:t>
      </w:r>
      <w:r w:rsidR="00841140" w:rsidRPr="00841140">
        <w:rPr>
          <w:sz w:val="22"/>
          <w:szCs w:val="22"/>
        </w:rPr>
        <w:t xml:space="preserve"> </w:t>
      </w:r>
      <w:r w:rsidR="00841140">
        <w:rPr>
          <w:sz w:val="22"/>
          <w:szCs w:val="22"/>
        </w:rPr>
        <w:t>имеет значение «</w:t>
      </w:r>
      <w:r w:rsidR="00841140">
        <w:rPr>
          <w:sz w:val="22"/>
          <w:szCs w:val="22"/>
          <w:lang w:val="en-US"/>
        </w:rPr>
        <w:t>R</w:t>
      </w:r>
      <w:r w:rsidR="00841140">
        <w:rPr>
          <w:sz w:val="22"/>
          <w:szCs w:val="22"/>
        </w:rPr>
        <w:t xml:space="preserve">», принимается равной нулю. </w:t>
      </w:r>
    </w:p>
    <w:p w14:paraId="6F3BE7AA" w14:textId="77777777" w:rsidR="00AB215A" w:rsidRDefault="00AB215A" w:rsidP="00D94B20">
      <w:pPr>
        <w:pStyle w:val="a3"/>
        <w:numPr>
          <w:ilvl w:val="2"/>
          <w:numId w:val="14"/>
        </w:numPr>
        <w:spacing w:after="120"/>
        <w:ind w:left="709" w:hanging="709"/>
        <w:contextualSpacing w:val="0"/>
        <w:jc w:val="both"/>
        <w:rPr>
          <w:sz w:val="22"/>
          <w:szCs w:val="22"/>
        </w:rPr>
      </w:pPr>
      <w:r>
        <w:rPr>
          <w:sz w:val="22"/>
          <w:szCs w:val="22"/>
        </w:rPr>
        <w:t>Ценные бумаги, полученные в результате конвертации:</w:t>
      </w:r>
    </w:p>
    <w:p w14:paraId="68335E24" w14:textId="77777777" w:rsidR="00AB215A" w:rsidRDefault="00AB215A" w:rsidP="00D94B20">
      <w:pPr>
        <w:pStyle w:val="a3"/>
        <w:numPr>
          <w:ilvl w:val="3"/>
          <w:numId w:val="14"/>
        </w:numPr>
        <w:spacing w:after="120"/>
        <w:ind w:left="851" w:hanging="851"/>
        <w:contextualSpacing w:val="0"/>
        <w:jc w:val="both"/>
        <w:rPr>
          <w:sz w:val="22"/>
          <w:szCs w:val="22"/>
        </w:rPr>
      </w:pPr>
      <w:r w:rsidRPr="00AB215A">
        <w:rPr>
          <w:sz w:val="22"/>
          <w:szCs w:val="22"/>
        </w:rPr>
        <w:t>оценочная стоимость ценных бумаг, включенных в состав имущества в результате конвертации в них конвертируемых ценных бумаг, признается равной оценочной стоимости конвертированных ценных бумаг, скорректированной на коэффициент конвертации в случае, если он определен. Положения данного абзаца применяются до возникновения рыночной цены ценных бумаг, полученных в результате конвертации или завершения корпоративного действия в депозитарии места хранения рассматриваемых ценных бумаг;</w:t>
      </w:r>
    </w:p>
    <w:p w14:paraId="15AF6ED0" w14:textId="77777777" w:rsidR="00C1161B" w:rsidRPr="00C1161B" w:rsidRDefault="00C1161B" w:rsidP="00C1161B">
      <w:pPr>
        <w:pStyle w:val="a3"/>
        <w:numPr>
          <w:ilvl w:val="2"/>
          <w:numId w:val="14"/>
        </w:numPr>
        <w:spacing w:after="120"/>
        <w:ind w:left="567" w:hanging="567"/>
        <w:contextualSpacing w:val="0"/>
        <w:jc w:val="both"/>
        <w:rPr>
          <w:sz w:val="22"/>
          <w:szCs w:val="22"/>
        </w:rPr>
      </w:pPr>
      <w:r>
        <w:rPr>
          <w:sz w:val="22"/>
          <w:szCs w:val="22"/>
        </w:rPr>
        <w:t xml:space="preserve">Оценочная стоимость </w:t>
      </w:r>
      <w:r w:rsidRPr="00CA43C7">
        <w:rPr>
          <w:sz w:val="22"/>
          <w:szCs w:val="22"/>
        </w:rPr>
        <w:t xml:space="preserve">иных ценных бумаг </w:t>
      </w:r>
      <w:r>
        <w:rPr>
          <w:sz w:val="22"/>
          <w:szCs w:val="22"/>
        </w:rPr>
        <w:t xml:space="preserve">определяется </w:t>
      </w:r>
      <w:r w:rsidRPr="00CA43C7">
        <w:rPr>
          <w:sz w:val="22"/>
          <w:szCs w:val="22"/>
        </w:rPr>
        <w:t>в дополнительных соглашениях к Договору</w:t>
      </w:r>
      <w:r>
        <w:rPr>
          <w:sz w:val="22"/>
          <w:szCs w:val="22"/>
        </w:rPr>
        <w:t xml:space="preserve"> доверительного управления или в условиях Инвестиционных стратегий</w:t>
      </w:r>
      <w:r w:rsidRPr="00502D64">
        <w:rPr>
          <w:sz w:val="22"/>
          <w:szCs w:val="22"/>
        </w:rPr>
        <w:t xml:space="preserve">/ </w:t>
      </w:r>
      <w:r>
        <w:rPr>
          <w:sz w:val="22"/>
          <w:szCs w:val="22"/>
        </w:rPr>
        <w:t>Стандартных инвестиционных стратегий Договоров доверительного управления</w:t>
      </w:r>
      <w:r w:rsidRPr="00CA43C7">
        <w:rPr>
          <w:sz w:val="22"/>
          <w:szCs w:val="22"/>
        </w:rPr>
        <w:t>.</w:t>
      </w:r>
    </w:p>
    <w:p w14:paraId="063ACBFA" w14:textId="77777777" w:rsidR="000243C0" w:rsidRDefault="000243C0" w:rsidP="00D35D93">
      <w:pPr>
        <w:pStyle w:val="a3"/>
        <w:numPr>
          <w:ilvl w:val="2"/>
          <w:numId w:val="14"/>
        </w:numPr>
        <w:spacing w:after="120"/>
        <w:ind w:left="567" w:hanging="567"/>
        <w:contextualSpacing w:val="0"/>
        <w:jc w:val="both"/>
        <w:rPr>
          <w:sz w:val="22"/>
          <w:szCs w:val="22"/>
        </w:rPr>
      </w:pPr>
      <w:r>
        <w:rPr>
          <w:sz w:val="22"/>
          <w:szCs w:val="22"/>
        </w:rPr>
        <w:t xml:space="preserve">Дефолтные </w:t>
      </w:r>
      <w:r w:rsidR="00AB1CDF">
        <w:rPr>
          <w:sz w:val="22"/>
          <w:szCs w:val="22"/>
        </w:rPr>
        <w:t>облигации и дебиторская задолженность по дефолтным облигациям:</w:t>
      </w:r>
    </w:p>
    <w:p w14:paraId="18AFE1F5" w14:textId="77777777" w:rsidR="003E7A09" w:rsidRDefault="00AB1CDF" w:rsidP="000243C0">
      <w:pPr>
        <w:pStyle w:val="a3"/>
        <w:numPr>
          <w:ilvl w:val="3"/>
          <w:numId w:val="14"/>
        </w:numPr>
        <w:spacing w:after="120"/>
        <w:ind w:left="851" w:hanging="851"/>
        <w:contextualSpacing w:val="0"/>
        <w:jc w:val="both"/>
        <w:rPr>
          <w:sz w:val="22"/>
          <w:szCs w:val="22"/>
        </w:rPr>
      </w:pPr>
      <w:r>
        <w:rPr>
          <w:sz w:val="22"/>
          <w:szCs w:val="22"/>
        </w:rPr>
        <w:t>оценочная стоимость облигаций, по которым эмитентом не исполнены обязательства по погашению основного долга</w:t>
      </w:r>
      <w:r w:rsidR="003E7A09">
        <w:rPr>
          <w:sz w:val="22"/>
          <w:szCs w:val="22"/>
        </w:rPr>
        <w:t>:</w:t>
      </w:r>
    </w:p>
    <w:p w14:paraId="2E7C26F5" w14:textId="77777777" w:rsidR="00841140" w:rsidRDefault="00841140" w:rsidP="00841140">
      <w:pPr>
        <w:pStyle w:val="a3"/>
        <w:spacing w:after="120"/>
        <w:ind w:left="851"/>
        <w:contextualSpacing w:val="0"/>
        <w:jc w:val="both"/>
        <w:rPr>
          <w:sz w:val="22"/>
          <w:szCs w:val="22"/>
        </w:rPr>
      </w:pPr>
      <w:r>
        <w:rPr>
          <w:sz w:val="22"/>
          <w:szCs w:val="22"/>
        </w:rPr>
        <w:lastRenderedPageBreak/>
        <w:t>-</w:t>
      </w:r>
      <w:r w:rsidR="00AB1CDF">
        <w:rPr>
          <w:sz w:val="22"/>
          <w:szCs w:val="22"/>
        </w:rPr>
        <w:t xml:space="preserve"> по истечении </w:t>
      </w:r>
      <w:r w:rsidR="007C1AB2">
        <w:rPr>
          <w:sz w:val="22"/>
          <w:szCs w:val="22"/>
        </w:rPr>
        <w:t>90</w:t>
      </w:r>
      <w:r w:rsidR="00AB1CDF">
        <w:rPr>
          <w:sz w:val="22"/>
          <w:szCs w:val="22"/>
        </w:rPr>
        <w:t xml:space="preserve"> дней с даты погашения облигации в соответствии с условиями решения о выпуске, проспекта эмиссии, иного документа, содержащего условия размещения облигаций, </w:t>
      </w:r>
      <w:r w:rsidR="007C1AB2">
        <w:rPr>
          <w:sz w:val="22"/>
          <w:szCs w:val="22"/>
        </w:rPr>
        <w:t xml:space="preserve">признается равной </w:t>
      </w:r>
      <w:r w:rsidR="003E7A09">
        <w:rPr>
          <w:sz w:val="22"/>
          <w:szCs w:val="22"/>
        </w:rPr>
        <w:t xml:space="preserve">70% цены облигации, </w:t>
      </w:r>
      <w:r>
        <w:rPr>
          <w:sz w:val="22"/>
          <w:szCs w:val="22"/>
        </w:rPr>
        <w:t>определенной</w:t>
      </w:r>
      <w:r w:rsidR="003E7A09">
        <w:rPr>
          <w:sz w:val="22"/>
          <w:szCs w:val="22"/>
        </w:rPr>
        <w:t xml:space="preserve"> Управляющим в соответствии с п.п. 2.6.4. – 2.6.5</w:t>
      </w:r>
      <w:r w:rsidR="007C1AB2">
        <w:rPr>
          <w:sz w:val="22"/>
          <w:szCs w:val="22"/>
        </w:rPr>
        <w:t>;</w:t>
      </w:r>
      <w:r w:rsidR="003E7A09">
        <w:rPr>
          <w:sz w:val="22"/>
          <w:szCs w:val="22"/>
        </w:rPr>
        <w:t xml:space="preserve"> </w:t>
      </w:r>
    </w:p>
    <w:p w14:paraId="6BEF4C42" w14:textId="77777777" w:rsidR="000243C0" w:rsidRDefault="00841140" w:rsidP="00841140">
      <w:pPr>
        <w:pStyle w:val="a3"/>
        <w:spacing w:after="120"/>
        <w:ind w:left="851"/>
        <w:contextualSpacing w:val="0"/>
        <w:jc w:val="both"/>
        <w:rPr>
          <w:sz w:val="22"/>
          <w:szCs w:val="22"/>
        </w:rPr>
      </w:pPr>
      <w:r>
        <w:rPr>
          <w:sz w:val="22"/>
          <w:szCs w:val="22"/>
        </w:rPr>
        <w:t xml:space="preserve">- </w:t>
      </w:r>
      <w:r w:rsidR="003E7A09">
        <w:rPr>
          <w:sz w:val="22"/>
          <w:szCs w:val="22"/>
        </w:rPr>
        <w:t xml:space="preserve">по истечении 180 дней с даты погашения оценочная стоимость облигации признается равной 35% </w:t>
      </w:r>
      <w:r>
        <w:rPr>
          <w:sz w:val="22"/>
          <w:szCs w:val="22"/>
        </w:rPr>
        <w:t>цены облигации, определенной Управляющим в соответствии с п.п. 2.6.4. – 2.6.5;</w:t>
      </w:r>
    </w:p>
    <w:p w14:paraId="564D7636" w14:textId="77777777" w:rsidR="003E7A09" w:rsidRPr="00841140" w:rsidRDefault="00841140" w:rsidP="00841140">
      <w:pPr>
        <w:pStyle w:val="a3"/>
        <w:spacing w:after="120"/>
        <w:ind w:left="851"/>
        <w:contextualSpacing w:val="0"/>
        <w:jc w:val="both"/>
        <w:rPr>
          <w:sz w:val="22"/>
          <w:szCs w:val="22"/>
        </w:rPr>
      </w:pPr>
      <w:r>
        <w:rPr>
          <w:sz w:val="22"/>
          <w:szCs w:val="22"/>
        </w:rPr>
        <w:t>- по истечении 365 (366) дней с даты погашения оценочная стоимость облигации признается равной нулю.</w:t>
      </w:r>
    </w:p>
    <w:p w14:paraId="74BCE7BB" w14:textId="77777777" w:rsidR="00AB1CDF" w:rsidRDefault="007C1AB2" w:rsidP="000243C0">
      <w:pPr>
        <w:pStyle w:val="a3"/>
        <w:numPr>
          <w:ilvl w:val="3"/>
          <w:numId w:val="14"/>
        </w:numPr>
        <w:spacing w:after="120"/>
        <w:ind w:left="851" w:hanging="851"/>
        <w:contextualSpacing w:val="0"/>
        <w:jc w:val="both"/>
        <w:rPr>
          <w:sz w:val="22"/>
          <w:szCs w:val="22"/>
        </w:rPr>
      </w:pPr>
      <w:r>
        <w:rPr>
          <w:sz w:val="22"/>
          <w:szCs w:val="22"/>
        </w:rPr>
        <w:t xml:space="preserve">дебиторская задолженность по выплате купона, амортизации номинала, погашению основного долга </w:t>
      </w:r>
      <w:r w:rsidR="00F62A48">
        <w:rPr>
          <w:sz w:val="22"/>
          <w:szCs w:val="22"/>
        </w:rPr>
        <w:t>дисконтируется в следующем порядке:</w:t>
      </w:r>
    </w:p>
    <w:p w14:paraId="0E12E347" w14:textId="77777777" w:rsidR="00F62A48" w:rsidRDefault="00F62A48" w:rsidP="00AB215A">
      <w:pPr>
        <w:pStyle w:val="a3"/>
        <w:spacing w:after="120"/>
        <w:ind w:left="851"/>
        <w:contextualSpacing w:val="0"/>
        <w:jc w:val="both"/>
        <w:rPr>
          <w:sz w:val="22"/>
          <w:szCs w:val="22"/>
        </w:rPr>
      </w:pPr>
      <w:r>
        <w:rPr>
          <w:sz w:val="22"/>
          <w:szCs w:val="22"/>
        </w:rPr>
        <w:t xml:space="preserve">- </w:t>
      </w:r>
      <w:r w:rsidRPr="00F62A48">
        <w:rPr>
          <w:sz w:val="22"/>
          <w:szCs w:val="22"/>
        </w:rPr>
        <w:t>задолженность, просроченная на срок до 90 дней – с 1 по 90 день принимается равной</w:t>
      </w:r>
      <w:r>
        <w:rPr>
          <w:sz w:val="22"/>
          <w:szCs w:val="22"/>
        </w:rPr>
        <w:t xml:space="preserve"> сумме такой задолженности, исчисленной исходя из ставки купона, суммы амортизации номинала и суммы основного долга, определенными </w:t>
      </w:r>
      <w:r w:rsidRPr="00F62A48">
        <w:rPr>
          <w:sz w:val="22"/>
          <w:szCs w:val="22"/>
        </w:rPr>
        <w:t>в соответствии с условиями решения о выпуске, проспекта эмиссии, иного документа, содержащего условия размещения облигаций</w:t>
      </w:r>
      <w:r>
        <w:rPr>
          <w:sz w:val="22"/>
          <w:szCs w:val="22"/>
        </w:rPr>
        <w:t>;</w:t>
      </w:r>
    </w:p>
    <w:p w14:paraId="05A5D577" w14:textId="77777777" w:rsidR="00F62A48" w:rsidRDefault="00F62A48" w:rsidP="00AB215A">
      <w:pPr>
        <w:pStyle w:val="a3"/>
        <w:spacing w:after="120"/>
        <w:ind w:left="851"/>
        <w:contextualSpacing w:val="0"/>
        <w:jc w:val="both"/>
        <w:rPr>
          <w:sz w:val="22"/>
          <w:szCs w:val="22"/>
        </w:rPr>
      </w:pPr>
      <w:r>
        <w:rPr>
          <w:sz w:val="22"/>
          <w:szCs w:val="22"/>
        </w:rPr>
        <w:t xml:space="preserve">- </w:t>
      </w:r>
      <w:r w:rsidRPr="00F62A48">
        <w:rPr>
          <w:sz w:val="22"/>
          <w:szCs w:val="22"/>
        </w:rPr>
        <w:t>задолженность, просроченная на срок от 91 до 180 дней – с 91 по 180 день принимается равной</w:t>
      </w:r>
      <w:r>
        <w:rPr>
          <w:sz w:val="22"/>
          <w:szCs w:val="22"/>
        </w:rPr>
        <w:t xml:space="preserve"> </w:t>
      </w:r>
      <w:r w:rsidRPr="00AB215A">
        <w:rPr>
          <w:sz w:val="22"/>
          <w:szCs w:val="22"/>
        </w:rPr>
        <w:t>70% от остатка такой задолженности на дату оценки</w:t>
      </w:r>
      <w:r>
        <w:rPr>
          <w:sz w:val="22"/>
          <w:szCs w:val="22"/>
        </w:rPr>
        <w:t>;</w:t>
      </w:r>
    </w:p>
    <w:p w14:paraId="45FAF253" w14:textId="77777777" w:rsidR="00F62A48" w:rsidRDefault="00F62A48" w:rsidP="00AB215A">
      <w:pPr>
        <w:pStyle w:val="a3"/>
        <w:spacing w:after="120"/>
        <w:ind w:left="851"/>
        <w:contextualSpacing w:val="0"/>
        <w:jc w:val="both"/>
        <w:rPr>
          <w:sz w:val="22"/>
          <w:szCs w:val="22"/>
        </w:rPr>
      </w:pPr>
      <w:r>
        <w:rPr>
          <w:sz w:val="22"/>
          <w:szCs w:val="22"/>
        </w:rPr>
        <w:t xml:space="preserve">- </w:t>
      </w:r>
      <w:r w:rsidRPr="00F62A48">
        <w:rPr>
          <w:sz w:val="22"/>
          <w:szCs w:val="22"/>
        </w:rPr>
        <w:t>задолженность, просроченная на срок от 181 до 365 (366) дней – с 181 по 365 (366) день</w:t>
      </w:r>
      <w:r w:rsidR="00AB215A">
        <w:rPr>
          <w:sz w:val="22"/>
          <w:szCs w:val="22"/>
        </w:rPr>
        <w:t xml:space="preserve"> </w:t>
      </w:r>
      <w:r w:rsidRPr="00AB215A">
        <w:rPr>
          <w:sz w:val="22"/>
          <w:szCs w:val="22"/>
        </w:rPr>
        <w:t xml:space="preserve">принимается равной </w:t>
      </w:r>
      <w:r w:rsidR="00AB215A">
        <w:rPr>
          <w:sz w:val="22"/>
          <w:szCs w:val="22"/>
        </w:rPr>
        <w:t>35</w:t>
      </w:r>
      <w:r w:rsidRPr="00AB215A">
        <w:rPr>
          <w:sz w:val="22"/>
          <w:szCs w:val="22"/>
        </w:rPr>
        <w:t>% от остатка такой задолженности на дату оценки;</w:t>
      </w:r>
    </w:p>
    <w:p w14:paraId="472F278E" w14:textId="77777777" w:rsidR="00AB215A" w:rsidRPr="00AB215A" w:rsidRDefault="00AB215A" w:rsidP="00AB215A">
      <w:pPr>
        <w:pStyle w:val="a3"/>
        <w:spacing w:after="120"/>
        <w:ind w:left="851"/>
        <w:contextualSpacing w:val="0"/>
        <w:jc w:val="both"/>
        <w:rPr>
          <w:sz w:val="22"/>
          <w:szCs w:val="22"/>
        </w:rPr>
      </w:pPr>
      <w:r>
        <w:rPr>
          <w:sz w:val="22"/>
          <w:szCs w:val="22"/>
        </w:rPr>
        <w:t xml:space="preserve">- </w:t>
      </w:r>
      <w:r w:rsidRPr="00AB215A">
        <w:rPr>
          <w:sz w:val="22"/>
          <w:szCs w:val="22"/>
        </w:rPr>
        <w:t xml:space="preserve">задолженность, просроченная на срок более 365 (366) дней – </w:t>
      </w:r>
      <w:r>
        <w:rPr>
          <w:sz w:val="22"/>
          <w:szCs w:val="22"/>
        </w:rPr>
        <w:t xml:space="preserve">принимается равной </w:t>
      </w:r>
      <w:r w:rsidRPr="00AB215A">
        <w:rPr>
          <w:sz w:val="22"/>
          <w:szCs w:val="22"/>
        </w:rPr>
        <w:t>нулю</w:t>
      </w:r>
      <w:r>
        <w:rPr>
          <w:sz w:val="22"/>
          <w:szCs w:val="22"/>
        </w:rPr>
        <w:t>.</w:t>
      </w:r>
    </w:p>
    <w:p w14:paraId="770D3E69" w14:textId="77777777" w:rsidR="000243C0" w:rsidRDefault="007C1AB2" w:rsidP="00D35D93">
      <w:pPr>
        <w:pStyle w:val="a3"/>
        <w:numPr>
          <w:ilvl w:val="2"/>
          <w:numId w:val="14"/>
        </w:numPr>
        <w:spacing w:after="120"/>
        <w:ind w:left="567" w:hanging="567"/>
        <w:contextualSpacing w:val="0"/>
        <w:jc w:val="both"/>
        <w:rPr>
          <w:sz w:val="22"/>
          <w:szCs w:val="22"/>
        </w:rPr>
      </w:pPr>
      <w:r>
        <w:rPr>
          <w:sz w:val="22"/>
          <w:szCs w:val="22"/>
        </w:rPr>
        <w:t>Дебиторская задолженность:</w:t>
      </w:r>
    </w:p>
    <w:p w14:paraId="52203B74" w14:textId="77777777" w:rsidR="007C1AB2" w:rsidRDefault="00F62A48" w:rsidP="00F62A48">
      <w:pPr>
        <w:pStyle w:val="a3"/>
        <w:numPr>
          <w:ilvl w:val="3"/>
          <w:numId w:val="14"/>
        </w:numPr>
        <w:spacing w:after="120"/>
        <w:ind w:left="851" w:hanging="851"/>
        <w:contextualSpacing w:val="0"/>
        <w:jc w:val="both"/>
        <w:rPr>
          <w:sz w:val="22"/>
          <w:szCs w:val="22"/>
        </w:rPr>
      </w:pPr>
      <w:r>
        <w:rPr>
          <w:sz w:val="22"/>
          <w:szCs w:val="22"/>
        </w:rPr>
        <w:t>в дату наступления выплаты по купонному доходу по облигациям, амортизации номинала, а также погашения основного долга в соответствии с условиями решения о выпуске, проспекта эмиссии, иного документа, содержащего условия размещения облигаций, начисляется дебиторская задолженность;</w:t>
      </w:r>
    </w:p>
    <w:p w14:paraId="3995ADFA" w14:textId="77777777" w:rsidR="00F62A48" w:rsidRPr="003E7A09" w:rsidRDefault="00F62A48" w:rsidP="00F62A48">
      <w:pPr>
        <w:pStyle w:val="a3"/>
        <w:numPr>
          <w:ilvl w:val="3"/>
          <w:numId w:val="14"/>
        </w:numPr>
        <w:spacing w:after="120"/>
        <w:ind w:left="851" w:hanging="851"/>
        <w:contextualSpacing w:val="0"/>
        <w:jc w:val="both"/>
        <w:rPr>
          <w:sz w:val="22"/>
          <w:szCs w:val="22"/>
        </w:rPr>
      </w:pPr>
      <w:r w:rsidRPr="003E7A09">
        <w:rPr>
          <w:sz w:val="22"/>
          <w:szCs w:val="22"/>
        </w:rPr>
        <w:t>в расчет дебиторской задолженно</w:t>
      </w:r>
      <w:r w:rsidR="00AB215A" w:rsidRPr="003E7A09">
        <w:rPr>
          <w:sz w:val="22"/>
          <w:szCs w:val="22"/>
        </w:rPr>
        <w:t>сти принимае</w:t>
      </w:r>
      <w:r w:rsidRPr="003E7A09">
        <w:rPr>
          <w:sz w:val="22"/>
          <w:szCs w:val="22"/>
        </w:rPr>
        <w:t xml:space="preserve">тся </w:t>
      </w:r>
      <w:r w:rsidR="00AB215A" w:rsidRPr="003E7A09">
        <w:rPr>
          <w:sz w:val="22"/>
          <w:szCs w:val="22"/>
        </w:rPr>
        <w:t>задолженность, возникшая в результате совершения сделок и иных операций по доверительному управлению;</w:t>
      </w:r>
    </w:p>
    <w:p w14:paraId="3E402BAF" w14:textId="77777777" w:rsidR="007C1AB2" w:rsidRDefault="007C1AB2" w:rsidP="00F62A48">
      <w:pPr>
        <w:pStyle w:val="a3"/>
        <w:numPr>
          <w:ilvl w:val="3"/>
          <w:numId w:val="14"/>
        </w:numPr>
        <w:spacing w:after="120"/>
        <w:ind w:left="851" w:hanging="851"/>
        <w:contextualSpacing w:val="0"/>
        <w:jc w:val="both"/>
        <w:rPr>
          <w:sz w:val="22"/>
          <w:szCs w:val="22"/>
        </w:rPr>
      </w:pPr>
      <w:r>
        <w:rPr>
          <w:sz w:val="22"/>
          <w:szCs w:val="22"/>
        </w:rPr>
        <w:t xml:space="preserve">не принимаются в расчет дебиторской задолженности объявленные, но не полученные </w:t>
      </w:r>
      <w:r w:rsidR="00875156">
        <w:rPr>
          <w:sz w:val="22"/>
          <w:szCs w:val="22"/>
        </w:rPr>
        <w:t xml:space="preserve">на расчетный счет Управляющего </w:t>
      </w:r>
      <w:r>
        <w:rPr>
          <w:sz w:val="22"/>
          <w:szCs w:val="22"/>
        </w:rPr>
        <w:t>дивиденды по акциям, а также начисленные, но не полученные доходы по инвестиционным паям паевых инвестиционных фондов, составляющим имущество Учредителя управления.</w:t>
      </w:r>
    </w:p>
    <w:p w14:paraId="3ED8A693" w14:textId="77777777" w:rsidR="00D81A86" w:rsidRDefault="008402D4" w:rsidP="00F62A48">
      <w:pPr>
        <w:pStyle w:val="a3"/>
        <w:numPr>
          <w:ilvl w:val="3"/>
          <w:numId w:val="14"/>
        </w:numPr>
        <w:spacing w:after="120"/>
        <w:ind w:left="851" w:hanging="851"/>
        <w:contextualSpacing w:val="0"/>
        <w:jc w:val="both"/>
        <w:rPr>
          <w:sz w:val="22"/>
          <w:szCs w:val="22"/>
        </w:rPr>
      </w:pPr>
      <w:r>
        <w:rPr>
          <w:sz w:val="22"/>
          <w:szCs w:val="22"/>
        </w:rPr>
        <w:t>выплаты по купонному доходу, а также суммы основного долга по структурным нотам принимаются в расчет дебиторской задолженности в дату получения Управляющим информации о поступлении указанных сумм на счет депозитария, осуществляющего учет этих структурных нот.</w:t>
      </w:r>
    </w:p>
    <w:p w14:paraId="187B329E" w14:textId="77777777" w:rsidR="00FB1415" w:rsidRDefault="008402D4" w:rsidP="00F62A48">
      <w:pPr>
        <w:pStyle w:val="a3"/>
        <w:numPr>
          <w:ilvl w:val="3"/>
          <w:numId w:val="14"/>
        </w:numPr>
        <w:spacing w:after="120"/>
        <w:ind w:left="851" w:hanging="851"/>
        <w:contextualSpacing w:val="0"/>
        <w:jc w:val="both"/>
        <w:rPr>
          <w:sz w:val="22"/>
          <w:szCs w:val="22"/>
        </w:rPr>
      </w:pPr>
      <w:r>
        <w:rPr>
          <w:sz w:val="22"/>
          <w:szCs w:val="22"/>
        </w:rPr>
        <w:t>д</w:t>
      </w:r>
      <w:r w:rsidR="00FB1415">
        <w:rPr>
          <w:sz w:val="22"/>
          <w:szCs w:val="22"/>
        </w:rPr>
        <w:t>ебиторская задолженность признается равной нулю (погашается) в момент исполнения сделок, в результате которых она возникла, получения доходов и сумм основного долга по ценным бумагам на расчетный счет Упра</w:t>
      </w:r>
      <w:r w:rsidR="00D14681">
        <w:rPr>
          <w:sz w:val="22"/>
          <w:szCs w:val="22"/>
        </w:rPr>
        <w:t>вляющего.</w:t>
      </w:r>
    </w:p>
    <w:p w14:paraId="49518960" w14:textId="77777777" w:rsidR="007C1AB2" w:rsidRDefault="007C1AB2" w:rsidP="00D35D93">
      <w:pPr>
        <w:pStyle w:val="a3"/>
        <w:numPr>
          <w:ilvl w:val="2"/>
          <w:numId w:val="14"/>
        </w:numPr>
        <w:spacing w:after="120"/>
        <w:ind w:left="567" w:hanging="567"/>
        <w:contextualSpacing w:val="0"/>
        <w:jc w:val="both"/>
        <w:rPr>
          <w:sz w:val="22"/>
          <w:szCs w:val="22"/>
        </w:rPr>
      </w:pPr>
      <w:r>
        <w:rPr>
          <w:sz w:val="22"/>
          <w:szCs w:val="22"/>
        </w:rPr>
        <w:t>Кредиторская задолженность</w:t>
      </w:r>
    </w:p>
    <w:p w14:paraId="581007A2" w14:textId="77777777" w:rsidR="007C1AB2" w:rsidRDefault="00AB215A" w:rsidP="00D94B20">
      <w:pPr>
        <w:pStyle w:val="a3"/>
        <w:numPr>
          <w:ilvl w:val="3"/>
          <w:numId w:val="14"/>
        </w:numPr>
        <w:spacing w:after="120"/>
        <w:ind w:left="851" w:hanging="851"/>
        <w:contextualSpacing w:val="0"/>
        <w:jc w:val="both"/>
        <w:rPr>
          <w:sz w:val="22"/>
          <w:szCs w:val="22"/>
        </w:rPr>
      </w:pPr>
      <w:r>
        <w:rPr>
          <w:sz w:val="22"/>
          <w:szCs w:val="22"/>
        </w:rPr>
        <w:t xml:space="preserve">в расчет кредиторской задолженности принимается </w:t>
      </w:r>
      <w:r w:rsidRPr="00AB215A">
        <w:rPr>
          <w:sz w:val="22"/>
          <w:szCs w:val="22"/>
        </w:rPr>
        <w:t>задолженность, возникшая в результате совершения сделок и иных операций по дов</w:t>
      </w:r>
      <w:r>
        <w:rPr>
          <w:sz w:val="22"/>
          <w:szCs w:val="22"/>
        </w:rPr>
        <w:t>ерительному управлению;</w:t>
      </w:r>
    </w:p>
    <w:p w14:paraId="7A01B0EF" w14:textId="77777777" w:rsidR="00AB215A" w:rsidRPr="00D35D93" w:rsidRDefault="00AB215A" w:rsidP="00AB215A">
      <w:pPr>
        <w:pStyle w:val="a3"/>
        <w:numPr>
          <w:ilvl w:val="3"/>
          <w:numId w:val="14"/>
        </w:numPr>
        <w:spacing w:after="120"/>
        <w:ind w:left="851" w:hanging="851"/>
        <w:contextualSpacing w:val="0"/>
        <w:jc w:val="both"/>
        <w:rPr>
          <w:sz w:val="22"/>
          <w:szCs w:val="22"/>
        </w:rPr>
      </w:pPr>
      <w:r>
        <w:rPr>
          <w:sz w:val="22"/>
          <w:szCs w:val="22"/>
        </w:rPr>
        <w:t>в расчет кредиторской задолженности принимаются суммы начисленного вознаграждения Управляющего, а также суммы расходов, произведенных Управляющим при осуществлении деятельности по доверительному управлению и подлежащих возмещению Управляющему.</w:t>
      </w:r>
    </w:p>
    <w:p w14:paraId="30BA6011" w14:textId="77777777" w:rsidR="00B8320F" w:rsidRPr="00CA43C7" w:rsidRDefault="00B8320F" w:rsidP="00B8320F">
      <w:pPr>
        <w:pStyle w:val="a3"/>
        <w:ind w:left="0"/>
        <w:jc w:val="both"/>
        <w:rPr>
          <w:sz w:val="22"/>
          <w:szCs w:val="22"/>
        </w:rPr>
      </w:pPr>
    </w:p>
    <w:p w14:paraId="79044A82" w14:textId="77777777" w:rsidR="002C648F" w:rsidRPr="00CA43C7" w:rsidRDefault="002C648F" w:rsidP="004B3411">
      <w:pPr>
        <w:pStyle w:val="a3"/>
        <w:numPr>
          <w:ilvl w:val="2"/>
          <w:numId w:val="14"/>
        </w:numPr>
        <w:spacing w:after="120" w:line="259" w:lineRule="auto"/>
        <w:ind w:left="567" w:hanging="567"/>
        <w:contextualSpacing w:val="0"/>
        <w:jc w:val="both"/>
        <w:rPr>
          <w:sz w:val="22"/>
          <w:szCs w:val="22"/>
        </w:rPr>
      </w:pPr>
      <w:r w:rsidRPr="00CA43C7">
        <w:rPr>
          <w:sz w:val="22"/>
          <w:szCs w:val="22"/>
        </w:rPr>
        <w:t>Оценочная стоимость обязательств по биржевым фьючерсным контрактам и опционам, если они предусмотрены Инвестиционной стратегией</w:t>
      </w:r>
      <w:r w:rsidR="00C92631">
        <w:rPr>
          <w:sz w:val="22"/>
          <w:szCs w:val="22"/>
        </w:rPr>
        <w:t xml:space="preserve"> или Стандартной инвестиционной стратегии</w:t>
      </w:r>
      <w:r w:rsidRPr="00CA43C7">
        <w:rPr>
          <w:sz w:val="22"/>
          <w:szCs w:val="22"/>
        </w:rPr>
        <w:t xml:space="preserve">, определяется по расчетной цене соответствующего российского организатора торговли, и учитывается в составе остатка средств на брокерском счете.  </w:t>
      </w:r>
    </w:p>
    <w:p w14:paraId="34AB515E" w14:textId="2A85F017" w:rsidR="002C648F" w:rsidRPr="00CA43C7" w:rsidRDefault="002C648F" w:rsidP="004B3411">
      <w:pPr>
        <w:pStyle w:val="a3"/>
        <w:spacing w:after="120" w:line="259" w:lineRule="auto"/>
        <w:ind w:left="567"/>
        <w:contextualSpacing w:val="0"/>
        <w:jc w:val="both"/>
        <w:rPr>
          <w:sz w:val="22"/>
          <w:szCs w:val="22"/>
        </w:rPr>
      </w:pPr>
      <w:r w:rsidRPr="00CA43C7">
        <w:rPr>
          <w:sz w:val="22"/>
          <w:szCs w:val="22"/>
        </w:rPr>
        <w:t>Оценочная стоимость форвардного контракта учитывается в составе дебиторской/кредиторской задолженности как разница между Оценочной стоимостью ценной бумаги, являющейся базовым активом, на дату определения Оценочной стоимости и стоимостью исполнения форвардного контракта.</w:t>
      </w:r>
    </w:p>
    <w:p w14:paraId="2B5D4B9B" w14:textId="792725C0" w:rsidR="00502D64" w:rsidRDefault="002C648F" w:rsidP="004B3411">
      <w:pPr>
        <w:pStyle w:val="a3"/>
        <w:spacing w:after="120" w:line="259" w:lineRule="auto"/>
        <w:ind w:left="567"/>
        <w:contextualSpacing w:val="0"/>
        <w:jc w:val="both"/>
        <w:rPr>
          <w:sz w:val="22"/>
          <w:szCs w:val="22"/>
        </w:rPr>
      </w:pPr>
      <w:r w:rsidRPr="00CA43C7">
        <w:rPr>
          <w:sz w:val="22"/>
          <w:szCs w:val="22"/>
        </w:rPr>
        <w:t xml:space="preserve">Оценочная стоимость обязательств по внебиржевым опционам учитывается в составе дебиторской/кредиторской задолженности и определяется по расчетной цене, публикуемой информационной системой «Блумберг» (Bloomberg) на дату оценки. При отсутствии на дату оценки указанной цены оценочная стоимость определяется </w:t>
      </w:r>
      <w:r w:rsidR="00502D64">
        <w:rPr>
          <w:sz w:val="22"/>
          <w:szCs w:val="22"/>
        </w:rPr>
        <w:t>на основании цен, полученных из закрытых источников данных (лиц, выпустивших опцион), а в случ</w:t>
      </w:r>
      <w:r w:rsidR="004B3411">
        <w:rPr>
          <w:sz w:val="22"/>
          <w:szCs w:val="22"/>
        </w:rPr>
        <w:t>а</w:t>
      </w:r>
      <w:r w:rsidR="00502D64">
        <w:rPr>
          <w:sz w:val="22"/>
          <w:szCs w:val="22"/>
        </w:rPr>
        <w:t>е ее</w:t>
      </w:r>
      <w:r w:rsidRPr="00CA43C7">
        <w:rPr>
          <w:sz w:val="22"/>
          <w:szCs w:val="22"/>
        </w:rPr>
        <w:t xml:space="preserve"> </w:t>
      </w:r>
      <w:r w:rsidR="00502D64">
        <w:rPr>
          <w:sz w:val="22"/>
          <w:szCs w:val="22"/>
        </w:rPr>
        <w:t xml:space="preserve">отсутствия - </w:t>
      </w:r>
      <w:r w:rsidRPr="00CA43C7">
        <w:rPr>
          <w:sz w:val="22"/>
          <w:szCs w:val="22"/>
        </w:rPr>
        <w:t>последняя определенная расчетная цена</w:t>
      </w:r>
      <w:r w:rsidR="00502D64">
        <w:rPr>
          <w:sz w:val="22"/>
          <w:szCs w:val="22"/>
        </w:rPr>
        <w:t>.</w:t>
      </w:r>
      <w:r w:rsidRPr="00CA43C7">
        <w:rPr>
          <w:sz w:val="22"/>
          <w:szCs w:val="22"/>
        </w:rPr>
        <w:t xml:space="preserve"> </w:t>
      </w:r>
    </w:p>
    <w:p w14:paraId="31BC61E3" w14:textId="5F24110B" w:rsidR="00B06C27" w:rsidRPr="004B3411" w:rsidRDefault="00502D64" w:rsidP="004B3411">
      <w:pPr>
        <w:pStyle w:val="a3"/>
        <w:spacing w:after="120" w:line="259" w:lineRule="auto"/>
        <w:ind w:left="567"/>
        <w:contextualSpacing w:val="0"/>
        <w:jc w:val="both"/>
        <w:rPr>
          <w:sz w:val="22"/>
          <w:szCs w:val="22"/>
        </w:rPr>
      </w:pPr>
      <w:r w:rsidRPr="004B3411">
        <w:rPr>
          <w:sz w:val="22"/>
          <w:szCs w:val="22"/>
        </w:rPr>
        <w:t>П</w:t>
      </w:r>
      <w:r w:rsidR="002C648F" w:rsidRPr="004B3411">
        <w:rPr>
          <w:sz w:val="22"/>
          <w:szCs w:val="22"/>
        </w:rPr>
        <w:t>ри отсутствии</w:t>
      </w:r>
      <w:r w:rsidRPr="004B3411">
        <w:rPr>
          <w:sz w:val="22"/>
          <w:szCs w:val="22"/>
        </w:rPr>
        <w:t xml:space="preserve"> всех вышеуказанных данных</w:t>
      </w:r>
      <w:r w:rsidR="002C648F" w:rsidRPr="004B3411">
        <w:rPr>
          <w:sz w:val="22"/>
          <w:szCs w:val="22"/>
        </w:rPr>
        <w:t xml:space="preserve"> оценочная стоимость</w:t>
      </w:r>
      <w:r w:rsidRPr="004B3411">
        <w:rPr>
          <w:sz w:val="22"/>
          <w:szCs w:val="22"/>
        </w:rPr>
        <w:t xml:space="preserve"> опциона</w:t>
      </w:r>
      <w:r w:rsidR="002C648F" w:rsidRPr="004B3411">
        <w:rPr>
          <w:sz w:val="22"/>
          <w:szCs w:val="22"/>
        </w:rPr>
        <w:t xml:space="preserve"> признается равной нулю.</w:t>
      </w:r>
    </w:p>
    <w:p w14:paraId="23040580" w14:textId="77777777" w:rsidR="002C648F" w:rsidRPr="00CA43C7" w:rsidRDefault="002C648F" w:rsidP="004B3411">
      <w:pPr>
        <w:pStyle w:val="a3"/>
        <w:numPr>
          <w:ilvl w:val="2"/>
          <w:numId w:val="14"/>
        </w:numPr>
        <w:spacing w:after="120" w:line="259" w:lineRule="auto"/>
        <w:ind w:left="567" w:hanging="567"/>
        <w:contextualSpacing w:val="0"/>
        <w:jc w:val="both"/>
        <w:rPr>
          <w:sz w:val="22"/>
          <w:szCs w:val="22"/>
        </w:rPr>
      </w:pPr>
      <w:r w:rsidRPr="00CA43C7">
        <w:rPr>
          <w:sz w:val="22"/>
          <w:szCs w:val="22"/>
        </w:rPr>
        <w:t>Оценочная стоимость имущества и обязательств при совершении сделок РЕПО определяется следующим образом:</w:t>
      </w:r>
    </w:p>
    <w:p w14:paraId="6C53D6A4" w14:textId="102CA0F1" w:rsidR="002C648F" w:rsidRPr="00CA43C7" w:rsidRDefault="002C648F" w:rsidP="004B3411">
      <w:pPr>
        <w:pStyle w:val="a3"/>
        <w:spacing w:after="120" w:line="259" w:lineRule="auto"/>
        <w:ind w:left="567"/>
        <w:contextualSpacing w:val="0"/>
        <w:jc w:val="both"/>
        <w:rPr>
          <w:sz w:val="22"/>
          <w:szCs w:val="22"/>
        </w:rPr>
      </w:pPr>
      <w:r w:rsidRPr="00CA43C7">
        <w:rPr>
          <w:sz w:val="22"/>
          <w:szCs w:val="22"/>
        </w:rPr>
        <w:t>Прямое РЕПО (привлечение по первой части сделки РЕПО денежных средств под залог ценных бумаг, которые подлежат возврату (обратному выкупу) при возвращении денежных средств и уплате процентов по ставке РЕПО при исполнении второй части сделки РЕПО):</w:t>
      </w:r>
    </w:p>
    <w:p w14:paraId="675E34EE" w14:textId="77777777" w:rsidR="002C648F" w:rsidRPr="00CA43C7" w:rsidRDefault="002C648F" w:rsidP="004B3411">
      <w:pPr>
        <w:pStyle w:val="a3"/>
        <w:spacing w:after="120" w:line="259" w:lineRule="auto"/>
        <w:ind w:left="567"/>
        <w:contextualSpacing w:val="0"/>
        <w:jc w:val="both"/>
        <w:rPr>
          <w:sz w:val="22"/>
          <w:szCs w:val="22"/>
        </w:rPr>
      </w:pPr>
      <w:r w:rsidRPr="00CA43C7">
        <w:rPr>
          <w:sz w:val="22"/>
          <w:szCs w:val="22"/>
        </w:rPr>
        <w:t>•</w:t>
      </w:r>
      <w:r w:rsidRPr="00CA43C7">
        <w:rPr>
          <w:sz w:val="22"/>
          <w:szCs w:val="22"/>
        </w:rPr>
        <w:tab/>
        <w:t xml:space="preserve">оценочная стоимость ценных бумаг, переданных по первой части сделки РЕПО определяется в соответствии с п. </w:t>
      </w:r>
      <w:r w:rsidR="00C92631">
        <w:rPr>
          <w:sz w:val="22"/>
          <w:szCs w:val="22"/>
        </w:rPr>
        <w:t>2</w:t>
      </w:r>
      <w:r w:rsidRPr="00CA43C7">
        <w:rPr>
          <w:sz w:val="22"/>
          <w:szCs w:val="22"/>
        </w:rPr>
        <w:t>.</w:t>
      </w:r>
      <w:r w:rsidR="00FB4C26">
        <w:rPr>
          <w:sz w:val="22"/>
          <w:szCs w:val="22"/>
        </w:rPr>
        <w:t>6</w:t>
      </w:r>
      <w:r w:rsidRPr="00CA43C7">
        <w:rPr>
          <w:sz w:val="22"/>
          <w:szCs w:val="22"/>
        </w:rPr>
        <w:t>.5 настоящей Методики;</w:t>
      </w:r>
    </w:p>
    <w:p w14:paraId="24218945" w14:textId="77777777" w:rsidR="002C648F" w:rsidRPr="00CA43C7" w:rsidRDefault="002C648F" w:rsidP="004B3411">
      <w:pPr>
        <w:pStyle w:val="a3"/>
        <w:spacing w:after="120" w:line="259" w:lineRule="auto"/>
        <w:ind w:left="567"/>
        <w:contextualSpacing w:val="0"/>
        <w:jc w:val="both"/>
        <w:rPr>
          <w:sz w:val="22"/>
          <w:szCs w:val="22"/>
        </w:rPr>
      </w:pPr>
      <w:r w:rsidRPr="00CA43C7">
        <w:rPr>
          <w:sz w:val="22"/>
          <w:szCs w:val="22"/>
        </w:rPr>
        <w:t>•</w:t>
      </w:r>
      <w:r w:rsidRPr="00CA43C7">
        <w:rPr>
          <w:sz w:val="22"/>
          <w:szCs w:val="22"/>
        </w:rPr>
        <w:tab/>
        <w:t>сумма сделки образует соответствующую кредиторскую задолженность с учетом ежедневно начисляемого процента по ставке РЕПО за фактическое количество дней со дня, следующего за днем поступления соответствующих денежных средств в рамках исполнения первой части сделки РЕПО по дату уплаты соответствующих денежных средств в рамках исполнения второй части сделки РЕПО.</w:t>
      </w:r>
    </w:p>
    <w:p w14:paraId="359BEABE" w14:textId="3D582C1D" w:rsidR="002C648F" w:rsidRPr="00CA43C7" w:rsidRDefault="002C648F" w:rsidP="004B3411">
      <w:pPr>
        <w:pStyle w:val="a3"/>
        <w:spacing w:after="120" w:line="259" w:lineRule="auto"/>
        <w:ind w:left="567"/>
        <w:contextualSpacing w:val="0"/>
        <w:jc w:val="both"/>
        <w:rPr>
          <w:sz w:val="22"/>
          <w:szCs w:val="22"/>
        </w:rPr>
      </w:pPr>
      <w:r w:rsidRPr="00CA43C7">
        <w:rPr>
          <w:sz w:val="22"/>
          <w:szCs w:val="22"/>
        </w:rPr>
        <w:t>Обратное РЕПО (привлечение по первой части сделки РЕПО ценных бумаг, при этом, уплачиваемые денежные средства служат залогом, подлежащие возврату при возвращении ценных бумаг, и уплате процентов по ставке РЕПО при исполнении второй части сделки РЕПО):</w:t>
      </w:r>
    </w:p>
    <w:p w14:paraId="39894A39" w14:textId="77777777" w:rsidR="00B06C27" w:rsidRPr="00CA43C7" w:rsidRDefault="002C648F" w:rsidP="004B3411">
      <w:pPr>
        <w:pStyle w:val="a3"/>
        <w:spacing w:after="120" w:line="259" w:lineRule="auto"/>
        <w:ind w:left="567"/>
        <w:contextualSpacing w:val="0"/>
        <w:jc w:val="both"/>
        <w:rPr>
          <w:sz w:val="22"/>
          <w:szCs w:val="22"/>
        </w:rPr>
      </w:pPr>
      <w:r w:rsidRPr="00CA43C7">
        <w:rPr>
          <w:sz w:val="22"/>
          <w:szCs w:val="22"/>
        </w:rPr>
        <w:t xml:space="preserve">• </w:t>
      </w:r>
      <w:r w:rsidRPr="00CA43C7">
        <w:rPr>
          <w:sz w:val="22"/>
          <w:szCs w:val="22"/>
        </w:rPr>
        <w:tab/>
        <w:t>полученные по первой части сделки РЕПО ценные бумаги образуют дебиторскую задолженность, размер которой определяется исходя из суммы первой части сделки РЕПО с учетом ежедневно начисляемого процента по ставке РЕПО за фактическое количество дней со дня, следующего за днем уплаты соответствующих денежных средств в рамках исполнения первой части сделки РЕПО по дату поступления соответствующих денежных средств в рамках исполнения второй части сделки РЕПО.</w:t>
      </w:r>
    </w:p>
    <w:p w14:paraId="5D239AEB" w14:textId="77777777" w:rsidR="00B06C27" w:rsidRPr="00CA43C7" w:rsidRDefault="002C648F" w:rsidP="004B3411">
      <w:pPr>
        <w:pStyle w:val="a3"/>
        <w:numPr>
          <w:ilvl w:val="2"/>
          <w:numId w:val="14"/>
        </w:numPr>
        <w:spacing w:after="120" w:line="259" w:lineRule="auto"/>
        <w:ind w:left="567" w:hanging="567"/>
        <w:contextualSpacing w:val="0"/>
        <w:jc w:val="both"/>
        <w:rPr>
          <w:sz w:val="22"/>
          <w:szCs w:val="22"/>
        </w:rPr>
      </w:pPr>
      <w:r w:rsidRPr="00CA43C7">
        <w:rPr>
          <w:sz w:val="22"/>
          <w:szCs w:val="22"/>
        </w:rPr>
        <w:t>Стороны договорились, что при списании ценных бумаг, входящих в состав имущества Учредителя управления, используется способ ФИФО (по первоначальной стоимости первых по времени приобретения ценных бумаг).</w:t>
      </w:r>
    </w:p>
    <w:p w14:paraId="39FB0F20" w14:textId="77777777" w:rsidR="002C648F" w:rsidRPr="00CA43C7" w:rsidRDefault="002C648F" w:rsidP="00CA43C7">
      <w:pPr>
        <w:pStyle w:val="a3"/>
        <w:ind w:left="0"/>
        <w:jc w:val="both"/>
        <w:rPr>
          <w:sz w:val="22"/>
          <w:szCs w:val="22"/>
        </w:rPr>
      </w:pPr>
      <w:r w:rsidRPr="00CA43C7">
        <w:rPr>
          <w:sz w:val="22"/>
          <w:szCs w:val="22"/>
        </w:rPr>
        <w:t xml:space="preserve"> </w:t>
      </w:r>
    </w:p>
    <w:p w14:paraId="6F800BB9" w14:textId="014DF4F8" w:rsidR="002C648F" w:rsidRPr="00CA43C7" w:rsidRDefault="002C648F" w:rsidP="00A41887">
      <w:pPr>
        <w:pStyle w:val="a3"/>
        <w:numPr>
          <w:ilvl w:val="2"/>
          <w:numId w:val="14"/>
        </w:numPr>
        <w:spacing w:after="120"/>
        <w:ind w:left="709" w:hanging="709"/>
        <w:contextualSpacing w:val="0"/>
        <w:jc w:val="both"/>
        <w:rPr>
          <w:sz w:val="22"/>
          <w:szCs w:val="22"/>
        </w:rPr>
      </w:pPr>
      <w:r w:rsidRPr="00CA43C7">
        <w:rPr>
          <w:sz w:val="22"/>
          <w:szCs w:val="22"/>
        </w:rPr>
        <w:lastRenderedPageBreak/>
        <w:t>Сумма денежных средств и обязательств в иностранной валюте пересчитывается в рубли по курсу, установленному Центральным банком Российской Федерации на дату оценки имущества.</w:t>
      </w:r>
      <w:r w:rsidR="00A41887">
        <w:rPr>
          <w:sz w:val="22"/>
          <w:szCs w:val="22"/>
        </w:rPr>
        <w:t xml:space="preserve"> </w:t>
      </w:r>
      <w:r w:rsidR="00A41887" w:rsidRPr="00A41887">
        <w:rPr>
          <w:sz w:val="22"/>
          <w:szCs w:val="22"/>
        </w:rPr>
        <w:t xml:space="preserve">В случае отсутствия официального курса иностранной валюты к рублю пересчет стоимости </w:t>
      </w:r>
      <w:r w:rsidR="00A41887">
        <w:rPr>
          <w:sz w:val="22"/>
          <w:szCs w:val="22"/>
        </w:rPr>
        <w:t>денежных средст</w:t>
      </w:r>
      <w:r w:rsidR="00A41887" w:rsidRPr="00A41887">
        <w:rPr>
          <w:sz w:val="22"/>
          <w:szCs w:val="22"/>
        </w:rPr>
        <w:t>в и обязательств, выраженной в иностранной валюте производится по кросс-курсу соответствующей валюты, рассчитанному исходя из курсов иностранных валют, установленных Банком России.</w:t>
      </w:r>
    </w:p>
    <w:p w14:paraId="1E4EB4E4" w14:textId="77777777" w:rsidR="008270F4" w:rsidRPr="00CA43C7" w:rsidRDefault="008270F4" w:rsidP="00AB3120">
      <w:pPr>
        <w:pStyle w:val="a3"/>
        <w:jc w:val="both"/>
        <w:rPr>
          <w:sz w:val="22"/>
          <w:szCs w:val="22"/>
        </w:rPr>
      </w:pPr>
    </w:p>
    <w:p w14:paraId="4C7E4BE5" w14:textId="77777777" w:rsidR="008270F4" w:rsidRPr="00CA43C7" w:rsidRDefault="007E5CE9" w:rsidP="00F44FF3">
      <w:pPr>
        <w:pStyle w:val="a3"/>
        <w:numPr>
          <w:ilvl w:val="0"/>
          <w:numId w:val="14"/>
        </w:numPr>
        <w:spacing w:after="240" w:line="259" w:lineRule="auto"/>
        <w:ind w:left="357" w:hanging="357"/>
        <w:contextualSpacing w:val="0"/>
        <w:jc w:val="center"/>
        <w:rPr>
          <w:b/>
          <w:sz w:val="22"/>
          <w:szCs w:val="22"/>
        </w:rPr>
      </w:pPr>
      <w:r>
        <w:rPr>
          <w:b/>
          <w:sz w:val="22"/>
          <w:szCs w:val="22"/>
        </w:rPr>
        <w:t>Заключительные положения</w:t>
      </w:r>
    </w:p>
    <w:p w14:paraId="24326B75" w14:textId="77777777" w:rsidR="008D748A" w:rsidRPr="00CA43C7" w:rsidRDefault="008D748A" w:rsidP="008270F4">
      <w:pPr>
        <w:tabs>
          <w:tab w:val="left" w:pos="-142"/>
        </w:tabs>
        <w:jc w:val="center"/>
        <w:rPr>
          <w:b/>
          <w:sz w:val="22"/>
          <w:szCs w:val="22"/>
        </w:rPr>
      </w:pPr>
    </w:p>
    <w:p w14:paraId="3D51241F" w14:textId="73AF5255" w:rsidR="008270F4" w:rsidRPr="00A41887" w:rsidRDefault="008270F4" w:rsidP="00A41887">
      <w:pPr>
        <w:pStyle w:val="a3"/>
        <w:ind w:left="0" w:firstLine="426"/>
        <w:jc w:val="both"/>
        <w:rPr>
          <w:sz w:val="22"/>
          <w:szCs w:val="22"/>
        </w:rPr>
      </w:pPr>
      <w:r w:rsidRPr="00A41887">
        <w:rPr>
          <w:sz w:val="22"/>
          <w:szCs w:val="22"/>
        </w:rPr>
        <w:t xml:space="preserve">3.1. </w:t>
      </w:r>
      <w:r w:rsidR="007E5CE9" w:rsidRPr="00A41887">
        <w:rPr>
          <w:sz w:val="22"/>
          <w:szCs w:val="22"/>
        </w:rPr>
        <w:t xml:space="preserve">Управляющий </w:t>
      </w:r>
      <w:r w:rsidRPr="00A41887">
        <w:rPr>
          <w:sz w:val="22"/>
          <w:szCs w:val="22"/>
        </w:rPr>
        <w:t xml:space="preserve">раскрывает настоящую Методику </w:t>
      </w:r>
      <w:r w:rsidR="007E5CE9" w:rsidRPr="00A41887">
        <w:rPr>
          <w:sz w:val="22"/>
          <w:szCs w:val="22"/>
        </w:rPr>
        <w:t xml:space="preserve">на сайте Управляющего по адресу </w:t>
      </w:r>
      <w:hyperlink r:id="rId6" w:history="1">
        <w:r w:rsidR="00CE195E" w:rsidRPr="00B5205A">
          <w:rPr>
            <w:rStyle w:val="a9"/>
            <w:sz w:val="22"/>
            <w:szCs w:val="22"/>
          </w:rPr>
          <w:t>www.capital-</w:t>
        </w:r>
        <w:r w:rsidR="00CE195E" w:rsidRPr="00B5205A">
          <w:rPr>
            <w:rStyle w:val="a9"/>
            <w:sz w:val="22"/>
            <w:szCs w:val="22"/>
            <w:lang w:val="en-US"/>
          </w:rPr>
          <w:t>am</w:t>
        </w:r>
        <w:r w:rsidR="00CE195E" w:rsidRPr="00B5205A">
          <w:rPr>
            <w:rStyle w:val="a9"/>
            <w:sz w:val="22"/>
            <w:szCs w:val="22"/>
          </w:rPr>
          <w:t>.ru</w:t>
        </w:r>
      </w:hyperlink>
      <w:r w:rsidR="007E5CE9" w:rsidRPr="00A41887">
        <w:rPr>
          <w:sz w:val="22"/>
          <w:szCs w:val="22"/>
        </w:rPr>
        <w:t xml:space="preserve"> (далее – Сайт Управляющего)</w:t>
      </w:r>
      <w:r w:rsidRPr="00A41887">
        <w:rPr>
          <w:sz w:val="22"/>
          <w:szCs w:val="22"/>
        </w:rPr>
        <w:t>.</w:t>
      </w:r>
    </w:p>
    <w:p w14:paraId="6CE39113" w14:textId="77777777" w:rsidR="008D748A" w:rsidRPr="00A41887" w:rsidRDefault="008D748A" w:rsidP="00A41887">
      <w:pPr>
        <w:pStyle w:val="a3"/>
        <w:ind w:left="0" w:firstLine="426"/>
        <w:jc w:val="both"/>
        <w:rPr>
          <w:sz w:val="22"/>
          <w:szCs w:val="22"/>
        </w:rPr>
      </w:pPr>
    </w:p>
    <w:p w14:paraId="7141819B" w14:textId="700A9DEE" w:rsidR="008270F4" w:rsidRPr="00A41887" w:rsidRDefault="008270F4" w:rsidP="00A41887">
      <w:pPr>
        <w:pStyle w:val="a3"/>
        <w:ind w:left="0" w:firstLine="426"/>
        <w:jc w:val="both"/>
        <w:rPr>
          <w:sz w:val="22"/>
          <w:szCs w:val="22"/>
        </w:rPr>
      </w:pPr>
      <w:r w:rsidRPr="00A41887">
        <w:rPr>
          <w:sz w:val="22"/>
          <w:szCs w:val="22"/>
        </w:rPr>
        <w:t xml:space="preserve">3.2. </w:t>
      </w:r>
      <w:r w:rsidR="007E5CE9" w:rsidRPr="00A41887">
        <w:rPr>
          <w:sz w:val="22"/>
          <w:szCs w:val="22"/>
        </w:rPr>
        <w:t xml:space="preserve">Управляющий имеет право вносить изменения и дополнения в Методику </w:t>
      </w:r>
      <w:r w:rsidR="00F44FF3" w:rsidRPr="00A41887">
        <w:rPr>
          <w:sz w:val="22"/>
          <w:szCs w:val="22"/>
        </w:rPr>
        <w:t>в установленном законодательством порядке. Методика с внесенными изменениями</w:t>
      </w:r>
      <w:r w:rsidR="007E5CE9" w:rsidRPr="00A41887">
        <w:rPr>
          <w:sz w:val="22"/>
          <w:szCs w:val="22"/>
        </w:rPr>
        <w:t xml:space="preserve"> станов</w:t>
      </w:r>
      <w:r w:rsidR="00F44FF3" w:rsidRPr="00A41887">
        <w:rPr>
          <w:sz w:val="22"/>
          <w:szCs w:val="22"/>
        </w:rPr>
        <w:t>и</w:t>
      </w:r>
      <w:r w:rsidR="007E5CE9" w:rsidRPr="00A41887">
        <w:rPr>
          <w:sz w:val="22"/>
          <w:szCs w:val="22"/>
        </w:rPr>
        <w:t>тся обязательн</w:t>
      </w:r>
      <w:r w:rsidR="00F44FF3" w:rsidRPr="00A41887">
        <w:rPr>
          <w:sz w:val="22"/>
          <w:szCs w:val="22"/>
        </w:rPr>
        <w:t>ой</w:t>
      </w:r>
      <w:r w:rsidR="007E5CE9" w:rsidRPr="00A41887">
        <w:rPr>
          <w:sz w:val="22"/>
          <w:szCs w:val="22"/>
        </w:rPr>
        <w:t xml:space="preserve"> для Сторон </w:t>
      </w:r>
      <w:r w:rsidR="00AB7C67" w:rsidRPr="00A41887">
        <w:rPr>
          <w:sz w:val="22"/>
          <w:szCs w:val="22"/>
        </w:rPr>
        <w:t xml:space="preserve">по истечении </w:t>
      </w:r>
      <w:r w:rsidR="00CA43C7" w:rsidRPr="00A41887">
        <w:rPr>
          <w:sz w:val="22"/>
          <w:szCs w:val="22"/>
        </w:rPr>
        <w:t xml:space="preserve">10 </w:t>
      </w:r>
      <w:r w:rsidR="007E5CE9" w:rsidRPr="00A41887">
        <w:rPr>
          <w:sz w:val="22"/>
          <w:szCs w:val="22"/>
        </w:rPr>
        <w:t>(</w:t>
      </w:r>
      <w:r w:rsidR="00CA43C7" w:rsidRPr="00A41887">
        <w:rPr>
          <w:sz w:val="22"/>
          <w:szCs w:val="22"/>
        </w:rPr>
        <w:t>Десят</w:t>
      </w:r>
      <w:r w:rsidR="00AB7C67" w:rsidRPr="00A41887">
        <w:rPr>
          <w:sz w:val="22"/>
          <w:szCs w:val="22"/>
        </w:rPr>
        <w:t>и</w:t>
      </w:r>
      <w:r w:rsidR="007E5CE9" w:rsidRPr="00A41887">
        <w:rPr>
          <w:sz w:val="22"/>
          <w:szCs w:val="22"/>
        </w:rPr>
        <w:t xml:space="preserve">) </w:t>
      </w:r>
      <w:r w:rsidR="00CA43C7" w:rsidRPr="00A41887">
        <w:rPr>
          <w:sz w:val="22"/>
          <w:szCs w:val="22"/>
        </w:rPr>
        <w:t>календарны</w:t>
      </w:r>
      <w:r w:rsidR="006660B0" w:rsidRPr="00A41887">
        <w:rPr>
          <w:sz w:val="22"/>
          <w:szCs w:val="22"/>
        </w:rPr>
        <w:t>х</w:t>
      </w:r>
      <w:r w:rsidR="00CA43C7" w:rsidRPr="00A41887">
        <w:rPr>
          <w:sz w:val="22"/>
          <w:szCs w:val="22"/>
        </w:rPr>
        <w:t xml:space="preserve"> </w:t>
      </w:r>
      <w:r w:rsidR="007E5CE9" w:rsidRPr="00A41887">
        <w:rPr>
          <w:sz w:val="22"/>
          <w:szCs w:val="22"/>
        </w:rPr>
        <w:t>д</w:t>
      </w:r>
      <w:r w:rsidR="006660B0" w:rsidRPr="00A41887">
        <w:rPr>
          <w:sz w:val="22"/>
          <w:szCs w:val="22"/>
        </w:rPr>
        <w:t>ней</w:t>
      </w:r>
      <w:r w:rsidR="007E5CE9" w:rsidRPr="00A41887">
        <w:rPr>
          <w:sz w:val="22"/>
          <w:szCs w:val="22"/>
        </w:rPr>
        <w:t xml:space="preserve"> с даты размещения Управляющим новой редакции</w:t>
      </w:r>
      <w:r w:rsidR="004B41E1" w:rsidRPr="00A41887">
        <w:rPr>
          <w:sz w:val="22"/>
          <w:szCs w:val="22"/>
        </w:rPr>
        <w:t xml:space="preserve"> </w:t>
      </w:r>
      <w:r w:rsidR="007E5CE9" w:rsidRPr="00A41887">
        <w:rPr>
          <w:sz w:val="22"/>
          <w:szCs w:val="22"/>
        </w:rPr>
        <w:t>Методики на Сайте Управляющего. Размещение новой редакции Методики на Сайте Управляющего признается Сторонами надлежащим уведомлением Учредителя управления о соответствующих изменениях.</w:t>
      </w:r>
    </w:p>
    <w:p w14:paraId="79161350" w14:textId="77777777" w:rsidR="00987DA8" w:rsidRPr="00A41887" w:rsidRDefault="00EA252D">
      <w:pPr>
        <w:rPr>
          <w:sz w:val="22"/>
          <w:szCs w:val="22"/>
        </w:rPr>
      </w:pPr>
    </w:p>
    <w:sectPr w:rsidR="00987DA8" w:rsidRPr="00A41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E3E"/>
    <w:multiLevelType w:val="multilevel"/>
    <w:tmpl w:val="D3864420"/>
    <w:lvl w:ilvl="0">
      <w:start w:val="6"/>
      <w:numFmt w:val="decimal"/>
      <w:lvlText w:val="%1."/>
      <w:lvlJc w:val="left"/>
      <w:pPr>
        <w:ind w:left="450" w:hanging="450"/>
      </w:pPr>
      <w:rPr>
        <w:rFonts w:ascii="Calibri" w:eastAsia="Calibri" w:hAnsi="Calibri" w:hint="default"/>
        <w:i/>
      </w:rPr>
    </w:lvl>
    <w:lvl w:ilvl="1">
      <w:start w:val="7"/>
      <w:numFmt w:val="decimal"/>
      <w:lvlText w:val="%1.%2."/>
      <w:lvlJc w:val="left"/>
      <w:pPr>
        <w:ind w:left="450" w:hanging="450"/>
      </w:pPr>
      <w:rPr>
        <w:rFonts w:ascii="Arial" w:eastAsia="Calibri" w:hAnsi="Arial" w:cs="Arial" w:hint="default"/>
        <w:i w:val="0"/>
      </w:rPr>
    </w:lvl>
    <w:lvl w:ilvl="2">
      <w:start w:val="3"/>
      <w:numFmt w:val="decimal"/>
      <w:lvlText w:val="%1.%2.%3."/>
      <w:lvlJc w:val="left"/>
      <w:pPr>
        <w:ind w:left="720" w:hanging="720"/>
      </w:pPr>
      <w:rPr>
        <w:rFonts w:ascii="Arial" w:eastAsia="Calibri" w:hAnsi="Arial" w:cs="Arial" w:hint="default"/>
        <w:i w:val="0"/>
        <w:sz w:val="20"/>
        <w:szCs w:val="20"/>
      </w:rPr>
    </w:lvl>
    <w:lvl w:ilvl="3">
      <w:start w:val="1"/>
      <w:numFmt w:val="decimal"/>
      <w:lvlText w:val="%1.%2.%3.%4."/>
      <w:lvlJc w:val="left"/>
      <w:pPr>
        <w:ind w:left="720" w:hanging="720"/>
      </w:pPr>
      <w:rPr>
        <w:rFonts w:ascii="Calibri" w:eastAsia="Calibri" w:hAnsi="Calibri" w:hint="default"/>
        <w:i/>
      </w:rPr>
    </w:lvl>
    <w:lvl w:ilvl="4">
      <w:start w:val="1"/>
      <w:numFmt w:val="decimal"/>
      <w:lvlText w:val="%1.%2.%3.%4.%5."/>
      <w:lvlJc w:val="left"/>
      <w:pPr>
        <w:ind w:left="1080" w:hanging="1080"/>
      </w:pPr>
      <w:rPr>
        <w:rFonts w:ascii="Calibri" w:eastAsia="Calibri" w:hAnsi="Calibri" w:hint="default"/>
        <w:i/>
      </w:rPr>
    </w:lvl>
    <w:lvl w:ilvl="5">
      <w:start w:val="1"/>
      <w:numFmt w:val="decimal"/>
      <w:lvlText w:val="%1.%2.%3.%4.%5.%6."/>
      <w:lvlJc w:val="left"/>
      <w:pPr>
        <w:ind w:left="1080" w:hanging="1080"/>
      </w:pPr>
      <w:rPr>
        <w:rFonts w:ascii="Calibri" w:eastAsia="Calibri" w:hAnsi="Calibri" w:hint="default"/>
        <w:i/>
      </w:rPr>
    </w:lvl>
    <w:lvl w:ilvl="6">
      <w:start w:val="1"/>
      <w:numFmt w:val="decimal"/>
      <w:lvlText w:val="%1.%2.%3.%4.%5.%6.%7."/>
      <w:lvlJc w:val="left"/>
      <w:pPr>
        <w:ind w:left="1440" w:hanging="1440"/>
      </w:pPr>
      <w:rPr>
        <w:rFonts w:ascii="Calibri" w:eastAsia="Calibri" w:hAnsi="Calibri" w:hint="default"/>
        <w:i/>
      </w:rPr>
    </w:lvl>
    <w:lvl w:ilvl="7">
      <w:start w:val="1"/>
      <w:numFmt w:val="decimal"/>
      <w:lvlText w:val="%1.%2.%3.%4.%5.%6.%7.%8."/>
      <w:lvlJc w:val="left"/>
      <w:pPr>
        <w:ind w:left="1440" w:hanging="1440"/>
      </w:pPr>
      <w:rPr>
        <w:rFonts w:ascii="Calibri" w:eastAsia="Calibri" w:hAnsi="Calibri" w:hint="default"/>
        <w:i/>
      </w:rPr>
    </w:lvl>
    <w:lvl w:ilvl="8">
      <w:start w:val="1"/>
      <w:numFmt w:val="decimal"/>
      <w:lvlText w:val="%1.%2.%3.%4.%5.%6.%7.%8.%9."/>
      <w:lvlJc w:val="left"/>
      <w:pPr>
        <w:ind w:left="1800" w:hanging="1800"/>
      </w:pPr>
      <w:rPr>
        <w:rFonts w:ascii="Calibri" w:eastAsia="Calibri" w:hAnsi="Calibri" w:hint="default"/>
        <w:i/>
      </w:rPr>
    </w:lvl>
  </w:abstractNum>
  <w:abstractNum w:abstractNumId="1" w15:restartNumberingAfterBreak="0">
    <w:nsid w:val="0F0E3767"/>
    <w:multiLevelType w:val="hybridMultilevel"/>
    <w:tmpl w:val="61405732"/>
    <w:lvl w:ilvl="0" w:tplc="04190003">
      <w:start w:val="1"/>
      <w:numFmt w:val="bullet"/>
      <w:lvlText w:val="o"/>
      <w:lvlJc w:val="left"/>
      <w:pPr>
        <w:ind w:left="1724" w:hanging="360"/>
      </w:pPr>
      <w:rPr>
        <w:rFonts w:ascii="Courier New" w:hAnsi="Courier New" w:cs="Courier New"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 w15:restartNumberingAfterBreak="0">
    <w:nsid w:val="18DA2019"/>
    <w:multiLevelType w:val="hybridMultilevel"/>
    <w:tmpl w:val="51A0D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3425D99"/>
    <w:multiLevelType w:val="multilevel"/>
    <w:tmpl w:val="87D44DB2"/>
    <w:lvl w:ilvl="0">
      <w:start w:val="6"/>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C44342"/>
    <w:multiLevelType w:val="hybridMultilevel"/>
    <w:tmpl w:val="04C425DC"/>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5" w15:restartNumberingAfterBreak="0">
    <w:nsid w:val="344F012E"/>
    <w:multiLevelType w:val="hybridMultilevel"/>
    <w:tmpl w:val="D3248A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8836BC"/>
    <w:multiLevelType w:val="hybridMultilevel"/>
    <w:tmpl w:val="FED872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57C01F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336598"/>
    <w:multiLevelType w:val="hybridMultilevel"/>
    <w:tmpl w:val="7D048C98"/>
    <w:lvl w:ilvl="0" w:tplc="0419000B">
      <w:start w:val="1"/>
      <w:numFmt w:val="bullet"/>
      <w:lvlText w:val=""/>
      <w:lvlJc w:val="left"/>
      <w:pPr>
        <w:ind w:left="2444" w:hanging="360"/>
      </w:pPr>
      <w:rPr>
        <w:rFonts w:ascii="Wingdings" w:hAnsi="Wingdings" w:hint="default"/>
      </w:rPr>
    </w:lvl>
    <w:lvl w:ilvl="1" w:tplc="04190019" w:tentative="1">
      <w:start w:val="1"/>
      <w:numFmt w:val="lowerLetter"/>
      <w:lvlText w:val="%2."/>
      <w:lvlJc w:val="left"/>
      <w:pPr>
        <w:ind w:left="3164" w:hanging="360"/>
      </w:pPr>
    </w:lvl>
    <w:lvl w:ilvl="2" w:tplc="0419001B" w:tentative="1">
      <w:start w:val="1"/>
      <w:numFmt w:val="lowerRoman"/>
      <w:lvlText w:val="%3."/>
      <w:lvlJc w:val="right"/>
      <w:pPr>
        <w:ind w:left="3884" w:hanging="180"/>
      </w:pPr>
    </w:lvl>
    <w:lvl w:ilvl="3" w:tplc="0419000F" w:tentative="1">
      <w:start w:val="1"/>
      <w:numFmt w:val="decimal"/>
      <w:lvlText w:val="%4."/>
      <w:lvlJc w:val="left"/>
      <w:pPr>
        <w:ind w:left="4604" w:hanging="360"/>
      </w:pPr>
    </w:lvl>
    <w:lvl w:ilvl="4" w:tplc="04190019" w:tentative="1">
      <w:start w:val="1"/>
      <w:numFmt w:val="lowerLetter"/>
      <w:lvlText w:val="%5."/>
      <w:lvlJc w:val="left"/>
      <w:pPr>
        <w:ind w:left="5324" w:hanging="360"/>
      </w:pPr>
    </w:lvl>
    <w:lvl w:ilvl="5" w:tplc="0419001B" w:tentative="1">
      <w:start w:val="1"/>
      <w:numFmt w:val="lowerRoman"/>
      <w:lvlText w:val="%6."/>
      <w:lvlJc w:val="right"/>
      <w:pPr>
        <w:ind w:left="6044" w:hanging="180"/>
      </w:pPr>
    </w:lvl>
    <w:lvl w:ilvl="6" w:tplc="0419000F" w:tentative="1">
      <w:start w:val="1"/>
      <w:numFmt w:val="decimal"/>
      <w:lvlText w:val="%7."/>
      <w:lvlJc w:val="left"/>
      <w:pPr>
        <w:ind w:left="6764" w:hanging="360"/>
      </w:pPr>
    </w:lvl>
    <w:lvl w:ilvl="7" w:tplc="04190019" w:tentative="1">
      <w:start w:val="1"/>
      <w:numFmt w:val="lowerLetter"/>
      <w:lvlText w:val="%8."/>
      <w:lvlJc w:val="left"/>
      <w:pPr>
        <w:ind w:left="7484" w:hanging="360"/>
      </w:pPr>
    </w:lvl>
    <w:lvl w:ilvl="8" w:tplc="0419001B" w:tentative="1">
      <w:start w:val="1"/>
      <w:numFmt w:val="lowerRoman"/>
      <w:lvlText w:val="%9."/>
      <w:lvlJc w:val="right"/>
      <w:pPr>
        <w:ind w:left="8204" w:hanging="180"/>
      </w:pPr>
    </w:lvl>
  </w:abstractNum>
  <w:abstractNum w:abstractNumId="9" w15:restartNumberingAfterBreak="0">
    <w:nsid w:val="62452A67"/>
    <w:multiLevelType w:val="hybridMultilevel"/>
    <w:tmpl w:val="C0D676F8"/>
    <w:lvl w:ilvl="0" w:tplc="0419000F">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0" w15:restartNumberingAfterBreak="0">
    <w:nsid w:val="637975A4"/>
    <w:multiLevelType w:val="multilevel"/>
    <w:tmpl w:val="EFC6103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CFE0CB0"/>
    <w:multiLevelType w:val="hybridMultilevel"/>
    <w:tmpl w:val="C3C85A5A"/>
    <w:lvl w:ilvl="0" w:tplc="0419000F">
      <w:start w:val="1"/>
      <w:numFmt w:val="decimal"/>
      <w:lvlText w:val="%1."/>
      <w:lvlJc w:val="left"/>
      <w:pPr>
        <w:ind w:left="2444" w:hanging="360"/>
      </w:pPr>
    </w:lvl>
    <w:lvl w:ilvl="1" w:tplc="04190019" w:tentative="1">
      <w:start w:val="1"/>
      <w:numFmt w:val="lowerLetter"/>
      <w:lvlText w:val="%2."/>
      <w:lvlJc w:val="left"/>
      <w:pPr>
        <w:ind w:left="3164" w:hanging="360"/>
      </w:pPr>
    </w:lvl>
    <w:lvl w:ilvl="2" w:tplc="0419001B" w:tentative="1">
      <w:start w:val="1"/>
      <w:numFmt w:val="lowerRoman"/>
      <w:lvlText w:val="%3."/>
      <w:lvlJc w:val="right"/>
      <w:pPr>
        <w:ind w:left="3884" w:hanging="180"/>
      </w:pPr>
    </w:lvl>
    <w:lvl w:ilvl="3" w:tplc="0419000F" w:tentative="1">
      <w:start w:val="1"/>
      <w:numFmt w:val="decimal"/>
      <w:lvlText w:val="%4."/>
      <w:lvlJc w:val="left"/>
      <w:pPr>
        <w:ind w:left="4604" w:hanging="360"/>
      </w:pPr>
    </w:lvl>
    <w:lvl w:ilvl="4" w:tplc="04190019" w:tentative="1">
      <w:start w:val="1"/>
      <w:numFmt w:val="lowerLetter"/>
      <w:lvlText w:val="%5."/>
      <w:lvlJc w:val="left"/>
      <w:pPr>
        <w:ind w:left="5324" w:hanging="360"/>
      </w:pPr>
    </w:lvl>
    <w:lvl w:ilvl="5" w:tplc="0419001B" w:tentative="1">
      <w:start w:val="1"/>
      <w:numFmt w:val="lowerRoman"/>
      <w:lvlText w:val="%6."/>
      <w:lvlJc w:val="right"/>
      <w:pPr>
        <w:ind w:left="6044" w:hanging="180"/>
      </w:pPr>
    </w:lvl>
    <w:lvl w:ilvl="6" w:tplc="0419000F" w:tentative="1">
      <w:start w:val="1"/>
      <w:numFmt w:val="decimal"/>
      <w:lvlText w:val="%7."/>
      <w:lvlJc w:val="left"/>
      <w:pPr>
        <w:ind w:left="6764" w:hanging="360"/>
      </w:pPr>
    </w:lvl>
    <w:lvl w:ilvl="7" w:tplc="04190019" w:tentative="1">
      <w:start w:val="1"/>
      <w:numFmt w:val="lowerLetter"/>
      <w:lvlText w:val="%8."/>
      <w:lvlJc w:val="left"/>
      <w:pPr>
        <w:ind w:left="7484" w:hanging="360"/>
      </w:pPr>
    </w:lvl>
    <w:lvl w:ilvl="8" w:tplc="0419001B" w:tentative="1">
      <w:start w:val="1"/>
      <w:numFmt w:val="lowerRoman"/>
      <w:lvlText w:val="%9."/>
      <w:lvlJc w:val="right"/>
      <w:pPr>
        <w:ind w:left="8204" w:hanging="180"/>
      </w:pPr>
    </w:lvl>
  </w:abstractNum>
  <w:abstractNum w:abstractNumId="12" w15:restartNumberingAfterBreak="0">
    <w:nsid w:val="769574FD"/>
    <w:multiLevelType w:val="hybridMultilevel"/>
    <w:tmpl w:val="BD22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80278C"/>
    <w:multiLevelType w:val="multilevel"/>
    <w:tmpl w:val="E76C996C"/>
    <w:lvl w:ilvl="0">
      <w:start w:val="5"/>
      <w:numFmt w:val="decimal"/>
      <w:lvlText w:val="%1."/>
      <w:lvlJc w:val="left"/>
      <w:pPr>
        <w:ind w:left="360" w:hanging="360"/>
      </w:pPr>
      <w:rPr>
        <w:rFonts w:hint="default"/>
        <w:sz w:val="20"/>
        <w:szCs w:val="20"/>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num>
  <w:num w:numId="3">
    <w:abstractNumId w:val="0"/>
    <w:lvlOverride w:ilvl="0">
      <w:startOverride w:val="6"/>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2"/>
  </w:num>
  <w:num w:numId="7">
    <w:abstractNumId w:val="12"/>
  </w:num>
  <w:num w:numId="8">
    <w:abstractNumId w:val="4"/>
  </w:num>
  <w:num w:numId="9">
    <w:abstractNumId w:val="6"/>
  </w:num>
  <w:num w:numId="10">
    <w:abstractNumId w:val="9"/>
  </w:num>
  <w:num w:numId="11">
    <w:abstractNumId w:val="1"/>
  </w:num>
  <w:num w:numId="12">
    <w:abstractNumId w:val="1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8F"/>
    <w:rsid w:val="000243C0"/>
    <w:rsid w:val="00034946"/>
    <w:rsid w:val="00043B3C"/>
    <w:rsid w:val="00044D21"/>
    <w:rsid w:val="000452BB"/>
    <w:rsid w:val="000926C5"/>
    <w:rsid w:val="000A3113"/>
    <w:rsid w:val="000D4EC9"/>
    <w:rsid w:val="000E5C96"/>
    <w:rsid w:val="00100D84"/>
    <w:rsid w:val="00112BA2"/>
    <w:rsid w:val="001167EA"/>
    <w:rsid w:val="0016536F"/>
    <w:rsid w:val="00167D25"/>
    <w:rsid w:val="00173891"/>
    <w:rsid w:val="001C4367"/>
    <w:rsid w:val="001C6750"/>
    <w:rsid w:val="00237D00"/>
    <w:rsid w:val="00240EDC"/>
    <w:rsid w:val="002A7D4B"/>
    <w:rsid w:val="002C648F"/>
    <w:rsid w:val="002E471C"/>
    <w:rsid w:val="003003E8"/>
    <w:rsid w:val="00337527"/>
    <w:rsid w:val="003862F5"/>
    <w:rsid w:val="003A0CCA"/>
    <w:rsid w:val="003E7A09"/>
    <w:rsid w:val="00406CBA"/>
    <w:rsid w:val="00427007"/>
    <w:rsid w:val="004554A8"/>
    <w:rsid w:val="00462FA1"/>
    <w:rsid w:val="004B3411"/>
    <w:rsid w:val="004B41E1"/>
    <w:rsid w:val="004D0F8C"/>
    <w:rsid w:val="004D2AE8"/>
    <w:rsid w:val="004D49A8"/>
    <w:rsid w:val="004F53D1"/>
    <w:rsid w:val="005015D8"/>
    <w:rsid w:val="00502D64"/>
    <w:rsid w:val="00504FAA"/>
    <w:rsid w:val="00511443"/>
    <w:rsid w:val="00522A07"/>
    <w:rsid w:val="00587741"/>
    <w:rsid w:val="005A0090"/>
    <w:rsid w:val="005D04CC"/>
    <w:rsid w:val="005F1062"/>
    <w:rsid w:val="005F19B5"/>
    <w:rsid w:val="00642919"/>
    <w:rsid w:val="0066368F"/>
    <w:rsid w:val="006660B0"/>
    <w:rsid w:val="00682684"/>
    <w:rsid w:val="007A73F6"/>
    <w:rsid w:val="007C0161"/>
    <w:rsid w:val="007C1AB2"/>
    <w:rsid w:val="007E5CE9"/>
    <w:rsid w:val="008270F4"/>
    <w:rsid w:val="008402D4"/>
    <w:rsid w:val="00841140"/>
    <w:rsid w:val="00875156"/>
    <w:rsid w:val="00886873"/>
    <w:rsid w:val="008D748A"/>
    <w:rsid w:val="009604CF"/>
    <w:rsid w:val="00993676"/>
    <w:rsid w:val="00A41887"/>
    <w:rsid w:val="00A422D4"/>
    <w:rsid w:val="00A9044A"/>
    <w:rsid w:val="00A91529"/>
    <w:rsid w:val="00AB1CDF"/>
    <w:rsid w:val="00AB215A"/>
    <w:rsid w:val="00AB3120"/>
    <w:rsid w:val="00AB7C67"/>
    <w:rsid w:val="00AF513B"/>
    <w:rsid w:val="00B058BF"/>
    <w:rsid w:val="00B06C27"/>
    <w:rsid w:val="00B25895"/>
    <w:rsid w:val="00B8320F"/>
    <w:rsid w:val="00B93A45"/>
    <w:rsid w:val="00BA3FA5"/>
    <w:rsid w:val="00BC3F34"/>
    <w:rsid w:val="00BD7991"/>
    <w:rsid w:val="00C111C7"/>
    <w:rsid w:val="00C1161B"/>
    <w:rsid w:val="00C67076"/>
    <w:rsid w:val="00C72B45"/>
    <w:rsid w:val="00C92631"/>
    <w:rsid w:val="00C9595B"/>
    <w:rsid w:val="00CA43C7"/>
    <w:rsid w:val="00CE195E"/>
    <w:rsid w:val="00D14681"/>
    <w:rsid w:val="00D228C9"/>
    <w:rsid w:val="00D35D93"/>
    <w:rsid w:val="00D81A86"/>
    <w:rsid w:val="00D94B20"/>
    <w:rsid w:val="00DA3EFF"/>
    <w:rsid w:val="00DD794C"/>
    <w:rsid w:val="00DF75C3"/>
    <w:rsid w:val="00EA252D"/>
    <w:rsid w:val="00EC2B54"/>
    <w:rsid w:val="00EE6E49"/>
    <w:rsid w:val="00F44FF3"/>
    <w:rsid w:val="00F62A48"/>
    <w:rsid w:val="00FB1415"/>
    <w:rsid w:val="00FB4C26"/>
    <w:rsid w:val="00FC37FB"/>
    <w:rsid w:val="00FE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EF3B"/>
  <w15:chartTrackingRefBased/>
  <w15:docId w15:val="{CADD710A-194D-4484-B414-5B61FB48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48F"/>
    <w:pPr>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48F"/>
    <w:pPr>
      <w:ind w:left="720"/>
      <w:contextualSpacing/>
    </w:pPr>
  </w:style>
  <w:style w:type="paragraph" w:customStyle="1" w:styleId="a4">
    <w:name w:val="Название"/>
    <w:basedOn w:val="a"/>
    <w:qFormat/>
    <w:rsid w:val="002C648F"/>
    <w:pPr>
      <w:widowControl w:val="0"/>
      <w:ind w:firstLine="567"/>
      <w:jc w:val="center"/>
    </w:pPr>
    <w:rPr>
      <w:rFonts w:ascii="Times New Roman" w:hAnsi="Times New Roman" w:cs="Times New Roman"/>
      <w:caps/>
      <w:kern w:val="24"/>
      <w:szCs w:val="20"/>
      <w:u w:val="single"/>
      <w:lang w:val="en-AU"/>
    </w:rPr>
  </w:style>
  <w:style w:type="paragraph" w:customStyle="1" w:styleId="1">
    <w:name w:val="Обычный1"/>
    <w:rsid w:val="002C648F"/>
    <w:pPr>
      <w:spacing w:before="100" w:after="100" w:line="240" w:lineRule="auto"/>
    </w:pPr>
    <w:rPr>
      <w:rFonts w:ascii="Times New Roman" w:eastAsia="Times New Roman" w:hAnsi="Times New Roman" w:cs="Times New Roman"/>
      <w:snapToGrid w:val="0"/>
      <w:sz w:val="24"/>
      <w:szCs w:val="20"/>
      <w:lang w:val="en-US" w:eastAsia="ru-RU"/>
    </w:rPr>
  </w:style>
  <w:style w:type="paragraph" w:styleId="a5">
    <w:name w:val="Body Text"/>
    <w:basedOn w:val="a"/>
    <w:link w:val="a6"/>
    <w:rsid w:val="002C648F"/>
    <w:pPr>
      <w:jc w:val="both"/>
    </w:pPr>
    <w:rPr>
      <w:rFonts w:ascii="Times New Roman" w:hAnsi="Times New Roman" w:cs="Times New Roman"/>
      <w:snapToGrid w:val="0"/>
      <w:color w:val="000000"/>
      <w:szCs w:val="20"/>
    </w:rPr>
  </w:style>
  <w:style w:type="character" w:customStyle="1" w:styleId="a6">
    <w:name w:val="Основной текст Знак"/>
    <w:basedOn w:val="a0"/>
    <w:link w:val="a5"/>
    <w:rsid w:val="002C648F"/>
    <w:rPr>
      <w:rFonts w:ascii="Times New Roman" w:eastAsia="Times New Roman" w:hAnsi="Times New Roman" w:cs="Times New Roman"/>
      <w:snapToGrid w:val="0"/>
      <w:color w:val="000000"/>
      <w:sz w:val="24"/>
      <w:szCs w:val="20"/>
      <w:lang w:eastAsia="ru-RU"/>
    </w:rPr>
  </w:style>
  <w:style w:type="paragraph" w:styleId="a7">
    <w:name w:val="Balloon Text"/>
    <w:basedOn w:val="a"/>
    <w:link w:val="a8"/>
    <w:uiPriority w:val="99"/>
    <w:semiHidden/>
    <w:unhideWhenUsed/>
    <w:rsid w:val="007E5CE9"/>
    <w:rPr>
      <w:rFonts w:ascii="Segoe UI" w:hAnsi="Segoe UI" w:cs="Segoe UI"/>
      <w:sz w:val="18"/>
      <w:szCs w:val="18"/>
    </w:rPr>
  </w:style>
  <w:style w:type="character" w:customStyle="1" w:styleId="a8">
    <w:name w:val="Текст выноски Знак"/>
    <w:basedOn w:val="a0"/>
    <w:link w:val="a7"/>
    <w:uiPriority w:val="99"/>
    <w:semiHidden/>
    <w:rsid w:val="007E5CE9"/>
    <w:rPr>
      <w:rFonts w:ascii="Segoe UI" w:eastAsia="Times New Roman" w:hAnsi="Segoe UI" w:cs="Segoe UI"/>
      <w:sz w:val="18"/>
      <w:szCs w:val="18"/>
      <w:lang w:eastAsia="ru-RU"/>
    </w:rPr>
  </w:style>
  <w:style w:type="character" w:styleId="a9">
    <w:name w:val="Hyperlink"/>
    <w:basedOn w:val="a0"/>
    <w:uiPriority w:val="99"/>
    <w:unhideWhenUsed/>
    <w:rsid w:val="007E5CE9"/>
    <w:rPr>
      <w:color w:val="0563C1" w:themeColor="hyperlink"/>
      <w:u w:val="single"/>
    </w:rPr>
  </w:style>
  <w:style w:type="character" w:styleId="aa">
    <w:name w:val="annotation reference"/>
    <w:basedOn w:val="a0"/>
    <w:uiPriority w:val="99"/>
    <w:semiHidden/>
    <w:unhideWhenUsed/>
    <w:rsid w:val="00642919"/>
    <w:rPr>
      <w:sz w:val="16"/>
      <w:szCs w:val="16"/>
    </w:rPr>
  </w:style>
  <w:style w:type="paragraph" w:styleId="ab">
    <w:name w:val="annotation text"/>
    <w:basedOn w:val="a"/>
    <w:link w:val="ac"/>
    <w:uiPriority w:val="99"/>
    <w:semiHidden/>
    <w:unhideWhenUsed/>
    <w:rsid w:val="00642919"/>
    <w:rPr>
      <w:sz w:val="20"/>
      <w:szCs w:val="20"/>
    </w:rPr>
  </w:style>
  <w:style w:type="character" w:customStyle="1" w:styleId="ac">
    <w:name w:val="Текст примечания Знак"/>
    <w:basedOn w:val="a0"/>
    <w:link w:val="ab"/>
    <w:uiPriority w:val="99"/>
    <w:semiHidden/>
    <w:rsid w:val="00642919"/>
    <w:rPr>
      <w:rFonts w:ascii="Arial" w:eastAsia="Times New Roman" w:hAnsi="Arial" w:cs="Arial"/>
      <w:sz w:val="20"/>
      <w:szCs w:val="20"/>
      <w:lang w:eastAsia="ru-RU"/>
    </w:rPr>
  </w:style>
  <w:style w:type="paragraph" w:styleId="ad">
    <w:name w:val="annotation subject"/>
    <w:basedOn w:val="ab"/>
    <w:next w:val="ab"/>
    <w:link w:val="ae"/>
    <w:uiPriority w:val="99"/>
    <w:semiHidden/>
    <w:unhideWhenUsed/>
    <w:rsid w:val="00642919"/>
    <w:rPr>
      <w:b/>
      <w:bCs/>
    </w:rPr>
  </w:style>
  <w:style w:type="character" w:customStyle="1" w:styleId="ae">
    <w:name w:val="Тема примечания Знак"/>
    <w:basedOn w:val="ac"/>
    <w:link w:val="ad"/>
    <w:uiPriority w:val="99"/>
    <w:semiHidden/>
    <w:rsid w:val="00642919"/>
    <w:rPr>
      <w:rFonts w:ascii="Arial" w:eastAsia="Times New Roman" w:hAnsi="Arial" w:cs="Arial"/>
      <w:b/>
      <w:bCs/>
      <w:sz w:val="20"/>
      <w:szCs w:val="20"/>
      <w:lang w:eastAsia="ru-RU"/>
    </w:rPr>
  </w:style>
  <w:style w:type="paragraph" w:customStyle="1" w:styleId="Default">
    <w:name w:val="Default"/>
    <w:rsid w:val="00044D2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
    <w:name w:val="Revision"/>
    <w:hidden/>
    <w:uiPriority w:val="99"/>
    <w:semiHidden/>
    <w:rsid w:val="00C1161B"/>
    <w:pPr>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54891">
      <w:bodyDiv w:val="1"/>
      <w:marLeft w:val="0"/>
      <w:marRight w:val="0"/>
      <w:marTop w:val="0"/>
      <w:marBottom w:val="0"/>
      <w:divBdr>
        <w:top w:val="none" w:sz="0" w:space="0" w:color="auto"/>
        <w:left w:val="none" w:sz="0" w:space="0" w:color="auto"/>
        <w:bottom w:val="none" w:sz="0" w:space="0" w:color="auto"/>
        <w:right w:val="none" w:sz="0" w:space="0" w:color="auto"/>
      </w:divBdr>
    </w:div>
    <w:div w:id="701441725">
      <w:bodyDiv w:val="1"/>
      <w:marLeft w:val="0"/>
      <w:marRight w:val="0"/>
      <w:marTop w:val="0"/>
      <w:marBottom w:val="0"/>
      <w:divBdr>
        <w:top w:val="none" w:sz="0" w:space="0" w:color="auto"/>
        <w:left w:val="none" w:sz="0" w:space="0" w:color="auto"/>
        <w:bottom w:val="none" w:sz="0" w:space="0" w:color="auto"/>
        <w:right w:val="none" w:sz="0" w:space="0" w:color="auto"/>
      </w:divBdr>
    </w:div>
    <w:div w:id="1665743700">
      <w:bodyDiv w:val="1"/>
      <w:marLeft w:val="0"/>
      <w:marRight w:val="0"/>
      <w:marTop w:val="0"/>
      <w:marBottom w:val="0"/>
      <w:divBdr>
        <w:top w:val="none" w:sz="0" w:space="0" w:color="auto"/>
        <w:left w:val="none" w:sz="0" w:space="0" w:color="auto"/>
        <w:bottom w:val="none" w:sz="0" w:space="0" w:color="auto"/>
        <w:right w:val="none" w:sz="0" w:space="0" w:color="auto"/>
      </w:divBdr>
    </w:div>
    <w:div w:id="19720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pital-am.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FCCF-9CA8-46DE-AD61-F330AE60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3342</Words>
  <Characters>19054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Кабакчи Петр Михайлович</dc:creator>
  <cp:keywords/>
  <dc:description/>
  <cp:lastModifiedBy>Гвасалия Марина Закроевна</cp:lastModifiedBy>
  <cp:revision>3</cp:revision>
  <cp:lastPrinted>2022-09-28T14:48:00Z</cp:lastPrinted>
  <dcterms:created xsi:type="dcterms:W3CDTF">2022-10-04T09:58:00Z</dcterms:created>
  <dcterms:modified xsi:type="dcterms:W3CDTF">2022-10-04T11:27:00Z</dcterms:modified>
</cp:coreProperties>
</file>